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411" w:rsidRPr="00604A71" w:rsidRDefault="002D4BA8" w:rsidP="002C5411">
      <w:pPr>
        <w:jc w:val="center"/>
        <w:rPr>
          <w:rFonts w:ascii="Times New Roman" w:hAnsi="Times New Roman"/>
          <w:b/>
          <w:lang w:val="fr-FR"/>
        </w:rPr>
      </w:pPr>
      <w:r w:rsidRPr="009F169A">
        <w:rPr>
          <w:rFonts w:ascii="Aparajita" w:hAnsi="Aparajita" w:cs="Aparajita"/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2D309E" wp14:editId="16AEF5F7">
                <wp:simplePos x="0" y="0"/>
                <wp:positionH relativeFrom="column">
                  <wp:posOffset>-390525</wp:posOffset>
                </wp:positionH>
                <wp:positionV relativeFrom="paragraph">
                  <wp:posOffset>1781175</wp:posOffset>
                </wp:positionV>
                <wp:extent cx="6713220" cy="2476500"/>
                <wp:effectExtent l="19050" t="19050" r="30480" b="57150"/>
                <wp:wrapNone/>
                <wp:docPr id="2" name="Rectangle à coins arrond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3220" cy="2476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1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0585B" w:rsidRPr="004D579B" w:rsidRDefault="0060585B" w:rsidP="0060585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4D579B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4"/>
                                <w:szCs w:val="24"/>
                                <w:lang w:val="fr-FR"/>
                              </w:rPr>
                              <w:t>LOT / G</w:t>
                            </w:r>
                          </w:p>
                          <w:p w:rsidR="002C5411" w:rsidRPr="002D4BA8" w:rsidRDefault="00170963" w:rsidP="009F169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735A5F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fr-FR"/>
                              </w:rPr>
                              <w:t>Recrutement</w:t>
                            </w:r>
                            <w:r w:rsidR="004D579B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fr-FR"/>
                              </w:rPr>
                              <w:t> :</w:t>
                            </w:r>
                            <w:r w:rsidRPr="002D4BA8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9F169A" w:rsidRPr="002D4BA8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  <w:lang w:val="fr-FR"/>
                              </w:rPr>
                              <w:t xml:space="preserve">« Expertise internationale aspects juridiques et droits humains » </w:t>
                            </w:r>
                            <w:r w:rsidR="002C5411" w:rsidRPr="002D4BA8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t>dans le cadre de la mise en œuvre du « Programme régional de réduction des risques VIH/TB et autres comorbidités et promotion des droits humains auprès des consommateurs de drogues injectables dans 5 pays d’Afrique de l’Ouest (Burkina Faso, Cap Vert, Côte d’Ivoire, Guinée Bissau et Sénégal) » PARECO</w:t>
                            </w:r>
                          </w:p>
                          <w:p w:rsidR="002D4BA8" w:rsidRPr="002D4BA8" w:rsidRDefault="002D4BA8" w:rsidP="002C541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:rsidR="002C5411" w:rsidRPr="002D4BA8" w:rsidRDefault="002C5411" w:rsidP="002C541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2D4BA8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>Termes de référence</w:t>
                            </w:r>
                          </w:p>
                          <w:p w:rsidR="002C5411" w:rsidRPr="00735A5F" w:rsidRDefault="0060585B" w:rsidP="002C541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735A5F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>30</w:t>
                            </w:r>
                            <w:r w:rsidR="002C5411" w:rsidRPr="00735A5F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 xml:space="preserve"> Mai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2D309E" id="Rectangle à coins arrondis 2" o:spid="_x0000_s1026" style="position:absolute;left:0;text-align:left;margin-left:-30.75pt;margin-top:140.25pt;width:528.6pt;height:1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" fillcolor="black [3213]" strokecolor="#f2f2f2" strokeweight="3pt">
                <v:shadow on="t" color="#4e6128" opacity=".5" offset="1pt"/>
                <v:textbox>
                  <w:txbxContent>
                    <w:p w:rsidR="0060585B" w:rsidRPr="004D579B" w:rsidRDefault="0060585B" w:rsidP="0060585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  <w:sz w:val="24"/>
                          <w:szCs w:val="24"/>
                          <w:lang w:val="fr-FR"/>
                        </w:rPr>
                      </w:pPr>
                      <w:r w:rsidRPr="004D579B">
                        <w:rPr>
                          <w:rFonts w:ascii="Times New Roman" w:hAnsi="Times New Roman"/>
                          <w:b/>
                          <w:color w:val="FF0000"/>
                          <w:sz w:val="24"/>
                          <w:szCs w:val="24"/>
                          <w:lang w:val="fr-FR"/>
                        </w:rPr>
                        <w:t>LOT / G</w:t>
                      </w:r>
                    </w:p>
                    <w:p w:rsidR="002C5411" w:rsidRPr="002D4BA8" w:rsidRDefault="00170963" w:rsidP="009F169A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  <w:lang w:val="fr-FR"/>
                        </w:rPr>
                      </w:pPr>
                      <w:r w:rsidRPr="00735A5F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fr-FR"/>
                        </w:rPr>
                        <w:t>Recrutement</w:t>
                      </w:r>
                      <w:r w:rsidR="004D579B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fr-FR"/>
                        </w:rPr>
                        <w:t> :</w:t>
                      </w:r>
                      <w:r w:rsidRPr="002D4BA8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="009F169A" w:rsidRPr="002D4BA8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  <w:lang w:val="fr-FR"/>
                        </w:rPr>
                        <w:t xml:space="preserve">« Expertise internationale aspects juridiques et droits humains » </w:t>
                      </w:r>
                      <w:r w:rsidR="002C5411" w:rsidRPr="002D4BA8"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  <w:lang w:val="fr-FR"/>
                        </w:rPr>
                        <w:t>dans le cadre de la mise en œuvre du « Programme régional de réduction des risques VIH/TB et autres comorbidités et promotion des droits humains auprès des consommateurs de drogues injectables dans 5 pays d’Afrique de l’Ouest (Burkina Faso, Cap Vert, Côte d’Ivoire, Guinée Bissau et Sénégal) » PARECO</w:t>
                      </w:r>
                    </w:p>
                    <w:p w:rsidR="002D4BA8" w:rsidRPr="002D4BA8" w:rsidRDefault="002D4BA8" w:rsidP="002C5411">
                      <w:pPr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  <w:sz w:val="24"/>
                          <w:szCs w:val="24"/>
                          <w:lang w:val="fr-FR"/>
                        </w:rPr>
                      </w:pPr>
                    </w:p>
                    <w:p w:rsidR="002C5411" w:rsidRPr="002D4BA8" w:rsidRDefault="002C5411" w:rsidP="002C5411">
                      <w:pPr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  <w:sz w:val="28"/>
                          <w:szCs w:val="28"/>
                          <w:lang w:val="fr-FR"/>
                        </w:rPr>
                      </w:pPr>
                      <w:r w:rsidRPr="002D4BA8">
                        <w:rPr>
                          <w:rFonts w:ascii="Times New Roman" w:hAnsi="Times New Roman"/>
                          <w:b/>
                          <w:color w:val="FF0000"/>
                          <w:sz w:val="28"/>
                          <w:szCs w:val="28"/>
                          <w:lang w:val="fr-FR"/>
                        </w:rPr>
                        <w:t>Termes de référence</w:t>
                      </w:r>
                    </w:p>
                    <w:p w:rsidR="002C5411" w:rsidRPr="00735A5F" w:rsidRDefault="0060585B" w:rsidP="002C5411">
                      <w:pPr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  <w:sz w:val="28"/>
                          <w:szCs w:val="28"/>
                          <w:lang w:val="fr-FR"/>
                        </w:rPr>
                      </w:pPr>
                      <w:r w:rsidRPr="00735A5F">
                        <w:rPr>
                          <w:rFonts w:ascii="Times New Roman" w:hAnsi="Times New Roman"/>
                          <w:b/>
                          <w:color w:val="FF0000"/>
                          <w:sz w:val="28"/>
                          <w:szCs w:val="28"/>
                          <w:lang w:val="fr-FR"/>
                        </w:rPr>
                        <w:t>30</w:t>
                      </w:r>
                      <w:r w:rsidR="002C5411" w:rsidRPr="00735A5F">
                        <w:rPr>
                          <w:rFonts w:ascii="Times New Roman" w:hAnsi="Times New Roman"/>
                          <w:b/>
                          <w:color w:val="FF0000"/>
                          <w:sz w:val="28"/>
                          <w:szCs w:val="28"/>
                          <w:lang w:val="fr-FR"/>
                        </w:rPr>
                        <w:t xml:space="preserve"> Mai 2017</w:t>
                      </w:r>
                    </w:p>
                  </w:txbxContent>
                </v:textbox>
              </v:roundrect>
            </w:pict>
          </mc:Fallback>
        </mc:AlternateContent>
      </w:r>
      <w:r w:rsidRPr="002D4BA8">
        <w:rPr>
          <w:rFonts w:ascii="Aparajita" w:hAnsi="Aparajita" w:cs="Aparajita"/>
          <w:noProof/>
          <w:sz w:val="28"/>
          <w:szCs w:val="28"/>
          <w:lang w:val="fr-FR" w:eastAsia="fr-FR"/>
        </w:rPr>
        <w:drawing>
          <wp:inline distT="0" distB="0" distL="0" distR="0">
            <wp:extent cx="2600325" cy="1114425"/>
            <wp:effectExtent l="0" t="0" r="9525" b="9525"/>
            <wp:docPr id="4" name="Image 4" descr="C:\Users\arame.ANCS\Desktop\Nouveau 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ame.ANCS\Desktop\Nouveau logo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5411" w:rsidRPr="009F169A">
        <w:rPr>
          <w:rFonts w:ascii="Aparajita" w:hAnsi="Aparajita" w:cs="Aparajita"/>
          <w:b/>
          <w:sz w:val="28"/>
          <w:szCs w:val="28"/>
          <w:lang w:val="fr-FR"/>
        </w:rPr>
        <w:br w:type="page"/>
      </w:r>
      <w:r w:rsidR="002C5411" w:rsidRPr="002D4BA8">
        <w:rPr>
          <w:rFonts w:ascii="Times New Roman" w:hAnsi="Times New Roman"/>
          <w:b/>
          <w:sz w:val="24"/>
          <w:szCs w:val="24"/>
          <w:lang w:val="fr-FR"/>
        </w:rPr>
        <w:lastRenderedPageBreak/>
        <w:t xml:space="preserve">I. </w:t>
      </w:r>
      <w:r w:rsidR="002C5411" w:rsidRPr="004D579B">
        <w:rPr>
          <w:rFonts w:ascii="Times New Roman" w:hAnsi="Times New Roman"/>
          <w:b/>
          <w:sz w:val="24"/>
          <w:szCs w:val="24"/>
          <w:u w:val="single"/>
          <w:lang w:val="fr-FR"/>
        </w:rPr>
        <w:t>Contexte  et Justification</w:t>
      </w:r>
    </w:p>
    <w:p w:rsidR="00AD5A0D" w:rsidRPr="002D4BA8" w:rsidRDefault="00AD5A0D" w:rsidP="00AD5A0D">
      <w:pPr>
        <w:jc w:val="both"/>
        <w:rPr>
          <w:rFonts w:ascii="Times New Roman" w:hAnsi="Times New Roman"/>
          <w:b/>
          <w:lang w:val="fr-FR"/>
        </w:rPr>
      </w:pPr>
      <w:r w:rsidRPr="002D4BA8">
        <w:rPr>
          <w:rFonts w:ascii="Times New Roman" w:hAnsi="Times New Roman"/>
          <w:lang w:val="fr-FR"/>
        </w:rPr>
        <w:t xml:space="preserve">L’Alliance Nationale contre le Sida, présentement dénommée Alliance Nationale des Communautés pour la Santé (ANCS), a soumis une note conceptuelle régionale au Fonds mondial, intitulée </w:t>
      </w:r>
      <w:r w:rsidRPr="002D4BA8">
        <w:rPr>
          <w:rFonts w:ascii="Times New Roman" w:hAnsi="Times New Roman"/>
          <w:b/>
          <w:i/>
          <w:lang w:val="fr-FR"/>
        </w:rPr>
        <w:t>“Réduction des risques VIH/TB et autres comorbidités et promotion des droits humains auprès des consommateurs de drogues injectables dans 5 pays de l’Afrique de l’Ouest”</w:t>
      </w:r>
      <w:r w:rsidRPr="002D4BA8">
        <w:rPr>
          <w:rFonts w:ascii="Times New Roman" w:hAnsi="Times New Roman"/>
          <w:lang w:val="fr-FR"/>
        </w:rPr>
        <w:t xml:space="preserve"> (Burkina Faso, Cap Vert, Côte d’Ivoire, Guinée Bissau et Sénégal). Cette note conceptuelle a reçu l’approbation du Conseil d’Administration du Fonds mondial, pour son financement en tant que programme régional.</w:t>
      </w:r>
      <w:r w:rsidRPr="002D4BA8">
        <w:rPr>
          <w:rFonts w:ascii="Times New Roman" w:hAnsi="Times New Roman"/>
          <w:b/>
          <w:lang w:val="fr-FR"/>
        </w:rPr>
        <w:t xml:space="preserve"> </w:t>
      </w:r>
      <w:r w:rsidRPr="002D4BA8">
        <w:rPr>
          <w:rFonts w:ascii="Times New Roman" w:hAnsi="Times New Roman"/>
          <w:color w:val="000000"/>
          <w:shd w:val="clear" w:color="auto" w:fill="FFFFFF"/>
          <w:lang w:val="fr-FR"/>
        </w:rPr>
        <w:t>Le programme régional (PARECO en sigle) vise l’amélioration de l’accès aux services de réduction des risques (</w:t>
      </w:r>
      <w:proofErr w:type="spellStart"/>
      <w:r w:rsidRPr="002D4BA8">
        <w:rPr>
          <w:rFonts w:ascii="Times New Roman" w:hAnsi="Times New Roman"/>
          <w:color w:val="000000"/>
          <w:shd w:val="clear" w:color="auto" w:fill="FFFFFF"/>
          <w:lang w:val="fr-FR"/>
        </w:rPr>
        <w:t>RdR</w:t>
      </w:r>
      <w:proofErr w:type="spellEnd"/>
      <w:r w:rsidRPr="002D4BA8">
        <w:rPr>
          <w:rFonts w:ascii="Times New Roman" w:hAnsi="Times New Roman"/>
          <w:color w:val="000000"/>
          <w:shd w:val="clear" w:color="auto" w:fill="FFFFFF"/>
          <w:lang w:val="fr-FR"/>
        </w:rPr>
        <w:t xml:space="preserve">) et la promotion des droits humains des CDI par: </w:t>
      </w:r>
    </w:p>
    <w:p w:rsidR="00AD5A0D" w:rsidRPr="002D4BA8" w:rsidRDefault="00AD5A0D" w:rsidP="00AD5A0D">
      <w:pPr>
        <w:pStyle w:val="Paragraphedeliste"/>
        <w:numPr>
          <w:ilvl w:val="0"/>
          <w:numId w:val="1"/>
        </w:numPr>
        <w:jc w:val="both"/>
        <w:rPr>
          <w:rFonts w:ascii="Times New Roman" w:hAnsi="Times New Roman"/>
          <w:lang w:val="fr-FR"/>
        </w:rPr>
      </w:pPr>
      <w:r w:rsidRPr="002D4BA8">
        <w:rPr>
          <w:rFonts w:ascii="Times New Roman" w:hAnsi="Times New Roman"/>
          <w:b/>
          <w:i/>
          <w:lang w:val="fr-FR"/>
        </w:rPr>
        <w:t>la promotion du plaidoyer</w:t>
      </w:r>
      <w:r w:rsidRPr="002D4BA8">
        <w:rPr>
          <w:rFonts w:ascii="Times New Roman" w:hAnsi="Times New Roman"/>
          <w:lang w:val="fr-FR"/>
        </w:rPr>
        <w:t xml:space="preserve"> dans les pays qui n’ont pas encore initié l’élaboration et la mise en œuvre d’une stratégie nationale de réduction des risques comprenant plusieurs mesures et programmes visant à réduire les conséquences négatives de l’usage de drogues;</w:t>
      </w:r>
    </w:p>
    <w:p w:rsidR="00AD5A0D" w:rsidRPr="002D4BA8" w:rsidRDefault="00AD5A0D" w:rsidP="00AD5A0D">
      <w:pPr>
        <w:pStyle w:val="Paragraphedeliste"/>
        <w:numPr>
          <w:ilvl w:val="0"/>
          <w:numId w:val="1"/>
        </w:numPr>
        <w:jc w:val="both"/>
        <w:rPr>
          <w:rFonts w:ascii="Times New Roman" w:hAnsi="Times New Roman"/>
          <w:color w:val="000000"/>
          <w:shd w:val="clear" w:color="auto" w:fill="FFFFFF"/>
          <w:lang w:val="fr-FR"/>
        </w:rPr>
      </w:pPr>
      <w:r w:rsidRPr="002D4BA8">
        <w:rPr>
          <w:rFonts w:ascii="Times New Roman" w:hAnsi="Times New Roman"/>
          <w:b/>
          <w:i/>
          <w:lang w:val="fr-FR"/>
        </w:rPr>
        <w:t>le renforcement de l’information stratégique</w:t>
      </w:r>
      <w:r w:rsidRPr="002D4BA8">
        <w:rPr>
          <w:rFonts w:ascii="Times New Roman" w:hAnsi="Times New Roman"/>
          <w:lang w:val="fr-FR"/>
        </w:rPr>
        <w:t xml:space="preserve"> permettant de mesurer l’ampleur du phénomène à travers des évidences basées sur des données fiables ;</w:t>
      </w:r>
    </w:p>
    <w:p w:rsidR="00AD5A0D" w:rsidRPr="002D4BA8" w:rsidRDefault="00AD5A0D" w:rsidP="00AD5A0D">
      <w:pPr>
        <w:pStyle w:val="Paragraphedeliste"/>
        <w:numPr>
          <w:ilvl w:val="0"/>
          <w:numId w:val="1"/>
        </w:numPr>
        <w:jc w:val="both"/>
        <w:rPr>
          <w:rFonts w:ascii="Times New Roman" w:hAnsi="Times New Roman"/>
          <w:color w:val="000000"/>
          <w:shd w:val="clear" w:color="auto" w:fill="FFFFFF"/>
          <w:lang w:val="fr-FR"/>
        </w:rPr>
      </w:pPr>
      <w:r w:rsidRPr="002D4BA8">
        <w:rPr>
          <w:rFonts w:ascii="Times New Roman" w:hAnsi="Times New Roman"/>
          <w:b/>
          <w:i/>
          <w:lang w:val="fr-FR"/>
        </w:rPr>
        <w:t>l’élaboration et le renforcement d’une démarche de santé publique et de droits humains</w:t>
      </w:r>
      <w:r w:rsidRPr="002D4BA8">
        <w:rPr>
          <w:rFonts w:ascii="Times New Roman" w:hAnsi="Times New Roman"/>
          <w:i/>
          <w:lang w:val="fr-FR"/>
        </w:rPr>
        <w:t xml:space="preserve"> </w:t>
      </w:r>
      <w:r w:rsidRPr="002D4BA8">
        <w:rPr>
          <w:rFonts w:ascii="Times New Roman" w:hAnsi="Times New Roman"/>
          <w:lang w:val="fr-FR"/>
        </w:rPr>
        <w:t>pour répondre aux besoins sanitaires et sociaux des CDI ;</w:t>
      </w:r>
    </w:p>
    <w:p w:rsidR="00AD5A0D" w:rsidRPr="002D4BA8" w:rsidRDefault="00AD5A0D" w:rsidP="00AD5A0D">
      <w:pPr>
        <w:pStyle w:val="Paragraphedeliste"/>
        <w:numPr>
          <w:ilvl w:val="0"/>
          <w:numId w:val="1"/>
        </w:numPr>
        <w:jc w:val="both"/>
        <w:rPr>
          <w:rFonts w:ascii="Times New Roman" w:hAnsi="Times New Roman"/>
          <w:color w:val="000000"/>
          <w:shd w:val="clear" w:color="auto" w:fill="FFFFFF"/>
          <w:lang w:val="fr-FR"/>
        </w:rPr>
      </w:pPr>
      <w:r w:rsidRPr="002D4BA8">
        <w:rPr>
          <w:rFonts w:ascii="Times New Roman" w:hAnsi="Times New Roman"/>
          <w:b/>
          <w:i/>
          <w:lang w:val="fr-FR"/>
        </w:rPr>
        <w:t>la formation et</w:t>
      </w:r>
      <w:r w:rsidRPr="002D4BA8">
        <w:rPr>
          <w:rFonts w:ascii="Times New Roman" w:hAnsi="Times New Roman"/>
          <w:i/>
          <w:lang w:val="fr-FR"/>
        </w:rPr>
        <w:t xml:space="preserve"> </w:t>
      </w:r>
      <w:r w:rsidRPr="002D4BA8">
        <w:rPr>
          <w:rFonts w:ascii="Times New Roman" w:hAnsi="Times New Roman"/>
          <w:b/>
          <w:i/>
          <w:lang w:val="fr-FR"/>
        </w:rPr>
        <w:t>la prise en compte par les programmes VIH/TB/Hépatites virales des besoins spécifiques des CDI</w:t>
      </w:r>
      <w:r w:rsidRPr="002D4BA8">
        <w:rPr>
          <w:rFonts w:ascii="Times New Roman" w:hAnsi="Times New Roman"/>
          <w:i/>
          <w:lang w:val="fr-FR"/>
        </w:rPr>
        <w:t xml:space="preserve"> </w:t>
      </w:r>
      <w:r w:rsidRPr="002D4BA8">
        <w:rPr>
          <w:rFonts w:ascii="Times New Roman" w:hAnsi="Times New Roman"/>
          <w:b/>
          <w:lang w:val="fr-FR"/>
        </w:rPr>
        <w:t>;</w:t>
      </w:r>
    </w:p>
    <w:p w:rsidR="00AD5A0D" w:rsidRPr="002D4BA8" w:rsidRDefault="00AD5A0D" w:rsidP="00AD5A0D">
      <w:pPr>
        <w:pStyle w:val="Paragraphedeliste"/>
        <w:numPr>
          <w:ilvl w:val="0"/>
          <w:numId w:val="1"/>
        </w:numPr>
        <w:jc w:val="both"/>
        <w:rPr>
          <w:rFonts w:ascii="Times New Roman" w:hAnsi="Times New Roman"/>
          <w:color w:val="000000"/>
          <w:shd w:val="clear" w:color="auto" w:fill="FFFFFF"/>
          <w:lang w:val="fr-FR"/>
        </w:rPr>
      </w:pPr>
      <w:r w:rsidRPr="002D4BA8">
        <w:rPr>
          <w:rFonts w:ascii="Times New Roman" w:hAnsi="Times New Roman"/>
          <w:b/>
          <w:i/>
          <w:lang w:val="fr-FR"/>
        </w:rPr>
        <w:t>la création d’un environnement favorable</w:t>
      </w:r>
      <w:r w:rsidRPr="002D4BA8">
        <w:rPr>
          <w:rFonts w:ascii="Times New Roman" w:hAnsi="Times New Roman"/>
          <w:b/>
          <w:lang w:val="fr-FR"/>
        </w:rPr>
        <w:t xml:space="preserve"> </w:t>
      </w:r>
      <w:r w:rsidRPr="002D4BA8">
        <w:rPr>
          <w:rFonts w:ascii="Times New Roman" w:hAnsi="Times New Roman"/>
          <w:lang w:val="fr-FR"/>
        </w:rPr>
        <w:t>pour lever les obstacles sociojuridiques qui limitent l’accès à la prévention et aux soins des CDI ;</w:t>
      </w:r>
    </w:p>
    <w:p w:rsidR="00AD5A0D" w:rsidRPr="002D4BA8" w:rsidRDefault="00AD5A0D" w:rsidP="00AD5A0D">
      <w:pPr>
        <w:pStyle w:val="Paragraphedeliste"/>
        <w:numPr>
          <w:ilvl w:val="0"/>
          <w:numId w:val="1"/>
        </w:numPr>
        <w:jc w:val="both"/>
        <w:rPr>
          <w:rFonts w:ascii="Times New Roman" w:hAnsi="Times New Roman"/>
          <w:color w:val="000000"/>
          <w:shd w:val="clear" w:color="auto" w:fill="FFFFFF"/>
          <w:lang w:val="fr-FR"/>
        </w:rPr>
      </w:pPr>
      <w:r w:rsidRPr="002D4BA8">
        <w:rPr>
          <w:rFonts w:ascii="Times New Roman" w:hAnsi="Times New Roman"/>
          <w:lang w:val="fr-FR"/>
        </w:rPr>
        <w:t xml:space="preserve">et </w:t>
      </w:r>
      <w:r w:rsidRPr="002D4BA8">
        <w:rPr>
          <w:rFonts w:ascii="Times New Roman" w:hAnsi="Times New Roman"/>
          <w:b/>
          <w:lang w:val="fr-FR"/>
        </w:rPr>
        <w:t>le développement de projets modèles innovants</w:t>
      </w:r>
      <w:r w:rsidRPr="002D4BA8">
        <w:rPr>
          <w:rFonts w:ascii="Times New Roman" w:hAnsi="Times New Roman"/>
          <w:lang w:val="fr-FR"/>
        </w:rPr>
        <w:t xml:space="preserve"> en réduction de risques permettant un partage régional des meilleures pratiques.</w:t>
      </w:r>
    </w:p>
    <w:p w:rsidR="00AD5A0D" w:rsidRPr="002D4BA8" w:rsidRDefault="00AD5A0D" w:rsidP="00AD5A0D">
      <w:pPr>
        <w:jc w:val="both"/>
        <w:rPr>
          <w:rFonts w:ascii="Times New Roman" w:hAnsi="Times New Roman"/>
          <w:lang w:val="fr-FR"/>
        </w:rPr>
      </w:pPr>
      <w:r w:rsidRPr="002D4BA8">
        <w:rPr>
          <w:rFonts w:ascii="Times New Roman" w:hAnsi="Times New Roman"/>
          <w:lang w:val="fr-FR"/>
        </w:rPr>
        <w:t>Compte tenu de la complexité d’un tel programme inédit dans la sous-région, sa mise en œuvre requiert des compétences et une expertis</w:t>
      </w:r>
      <w:r w:rsidR="00604A71" w:rsidRPr="002D4BA8">
        <w:rPr>
          <w:rFonts w:ascii="Times New Roman" w:hAnsi="Times New Roman"/>
          <w:lang w:val="fr-FR"/>
        </w:rPr>
        <w:t xml:space="preserve">e avérée en matière juridique et droits humains </w:t>
      </w:r>
      <w:r w:rsidRPr="002D4BA8">
        <w:rPr>
          <w:rFonts w:ascii="Times New Roman" w:hAnsi="Times New Roman"/>
          <w:lang w:val="fr-FR"/>
        </w:rPr>
        <w:t>pour garantir le succès et l’engagement des différentes parties prenantes à atteindre les résultats attendus durant les trois années dudit programme.</w:t>
      </w:r>
    </w:p>
    <w:p w:rsidR="00AD5A0D" w:rsidRPr="002D4BA8" w:rsidRDefault="00AD5A0D" w:rsidP="00AD5A0D">
      <w:pPr>
        <w:pStyle w:val="Paragraphedeliste"/>
        <w:numPr>
          <w:ilvl w:val="0"/>
          <w:numId w:val="37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u w:val="single"/>
          <w:lang w:val="fr-FR"/>
        </w:rPr>
      </w:pPr>
      <w:r w:rsidRPr="00604A71">
        <w:rPr>
          <w:rFonts w:ascii="Times New Roman" w:hAnsi="Times New Roman"/>
          <w:b/>
          <w:lang w:val="fr-FR"/>
        </w:rPr>
        <w:t>I</w:t>
      </w:r>
      <w:r w:rsidRPr="002D4BA8">
        <w:rPr>
          <w:rFonts w:ascii="Times New Roman" w:hAnsi="Times New Roman"/>
          <w:b/>
          <w:sz w:val="24"/>
          <w:szCs w:val="24"/>
          <w:lang w:val="fr-FR"/>
        </w:rPr>
        <w:t xml:space="preserve">I. </w:t>
      </w:r>
      <w:r w:rsidRPr="002D4BA8">
        <w:rPr>
          <w:rFonts w:ascii="Times New Roman" w:hAnsi="Times New Roman"/>
          <w:b/>
          <w:sz w:val="24"/>
          <w:szCs w:val="24"/>
          <w:u w:val="single"/>
          <w:lang w:val="fr-FR"/>
        </w:rPr>
        <w:t xml:space="preserve">Présentation de l’expertise du LOT </w:t>
      </w:r>
      <w:r w:rsidR="00B340A6" w:rsidRPr="002D4BA8">
        <w:rPr>
          <w:rFonts w:ascii="Times New Roman" w:hAnsi="Times New Roman"/>
          <w:b/>
          <w:sz w:val="24"/>
          <w:szCs w:val="24"/>
          <w:u w:val="single"/>
          <w:lang w:val="fr-FR"/>
        </w:rPr>
        <w:t>G</w:t>
      </w:r>
      <w:r w:rsidRPr="002D4BA8">
        <w:rPr>
          <w:rFonts w:ascii="Times New Roman" w:hAnsi="Times New Roman"/>
          <w:b/>
          <w:sz w:val="24"/>
          <w:szCs w:val="24"/>
          <w:u w:val="single"/>
          <w:lang w:val="fr-FR"/>
        </w:rPr>
        <w:t xml:space="preserve"> : </w:t>
      </w:r>
      <w:r w:rsidR="00B340A6" w:rsidRPr="002D4BA8">
        <w:rPr>
          <w:rFonts w:ascii="Times New Roman" w:hAnsi="Times New Roman"/>
          <w:b/>
          <w:sz w:val="24"/>
          <w:szCs w:val="24"/>
          <w:u w:val="single"/>
          <w:lang w:val="fr-FR"/>
        </w:rPr>
        <w:t>Aspects juridiques et Droits humains</w:t>
      </w:r>
      <w:r w:rsidRPr="002D4BA8">
        <w:rPr>
          <w:rFonts w:ascii="Times New Roman" w:hAnsi="Times New Roman"/>
          <w:b/>
          <w:u w:val="single"/>
          <w:lang w:val="fr-FR"/>
        </w:rPr>
        <w:t xml:space="preserve"> </w:t>
      </w:r>
    </w:p>
    <w:p w:rsidR="00AD5A0D" w:rsidRPr="002D4BA8" w:rsidRDefault="00AD5A0D" w:rsidP="00AD5A0D">
      <w:pPr>
        <w:pStyle w:val="Paragraphedeliste"/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lang w:val="fr-FR"/>
        </w:rPr>
      </w:pPr>
    </w:p>
    <w:p w:rsidR="00AD5A0D" w:rsidRPr="00604A71" w:rsidRDefault="00AD5A0D" w:rsidP="00AD5A0D">
      <w:pPr>
        <w:jc w:val="both"/>
        <w:rPr>
          <w:rFonts w:ascii="Times New Roman" w:hAnsi="Times New Roman"/>
          <w:lang w:val="fr-FR"/>
        </w:rPr>
      </w:pPr>
      <w:r w:rsidRPr="00604A71">
        <w:rPr>
          <w:rFonts w:ascii="Times New Roman" w:hAnsi="Times New Roman"/>
          <w:lang w:val="fr-FR"/>
        </w:rPr>
        <w:t>Il s’agira de rechercher un</w:t>
      </w:r>
      <w:r w:rsidR="009F0801" w:rsidRPr="00604A71">
        <w:rPr>
          <w:rFonts w:ascii="Times New Roman" w:hAnsi="Times New Roman"/>
          <w:lang w:val="fr-FR"/>
        </w:rPr>
        <w:t xml:space="preserve"> Ex</w:t>
      </w:r>
      <w:r w:rsidRPr="00604A71">
        <w:rPr>
          <w:rFonts w:ascii="Times New Roman" w:hAnsi="Times New Roman"/>
          <w:lang w:val="fr-FR"/>
        </w:rPr>
        <w:t>pert</w:t>
      </w:r>
      <w:r w:rsidR="009F0801" w:rsidRPr="00604A71">
        <w:rPr>
          <w:rFonts w:ascii="Times New Roman" w:hAnsi="Times New Roman"/>
          <w:lang w:val="fr-FR"/>
        </w:rPr>
        <w:t xml:space="preserve"> en Aspects juridiques et Droits humains</w:t>
      </w:r>
      <w:r w:rsidR="0051126F" w:rsidRPr="00604A71">
        <w:rPr>
          <w:rFonts w:ascii="Times New Roman" w:hAnsi="Times New Roman"/>
          <w:lang w:val="fr-FR"/>
        </w:rPr>
        <w:t xml:space="preserve">. Il </w:t>
      </w:r>
      <w:r w:rsidRPr="00604A71">
        <w:rPr>
          <w:rFonts w:ascii="Times New Roman" w:hAnsi="Times New Roman"/>
          <w:lang w:val="fr-FR"/>
        </w:rPr>
        <w:t>sera chargé de la réalisation des activités suivantes :</w:t>
      </w:r>
    </w:p>
    <w:p w:rsidR="00E20AFD" w:rsidRPr="002D4BA8" w:rsidRDefault="00C75749" w:rsidP="009F61F3">
      <w:pPr>
        <w:jc w:val="both"/>
        <w:rPr>
          <w:rFonts w:ascii="Times New Roman" w:hAnsi="Times New Roman"/>
          <w:lang w:val="fr-FR"/>
        </w:rPr>
      </w:pPr>
      <w:r w:rsidRPr="002D4BA8">
        <w:rPr>
          <w:rFonts w:ascii="Times New Roman" w:hAnsi="Times New Roman"/>
          <w:b/>
          <w:i/>
          <w:lang w:val="fr-FR"/>
        </w:rPr>
        <w:t>Activité 24</w:t>
      </w:r>
      <w:r w:rsidRPr="002D4BA8">
        <w:rPr>
          <w:rFonts w:ascii="Times New Roman" w:hAnsi="Times New Roman"/>
          <w:lang w:val="fr-FR"/>
        </w:rPr>
        <w:t xml:space="preserve"> Réaliser un état des lieux pour l'analyse des obstacles juridiques et systémiques (santé, sécurité etc..) à la mise en œuvre des stratégies de </w:t>
      </w:r>
      <w:proofErr w:type="spellStart"/>
      <w:r w:rsidRPr="002D4BA8">
        <w:rPr>
          <w:rFonts w:ascii="Times New Roman" w:hAnsi="Times New Roman"/>
          <w:lang w:val="fr-FR"/>
        </w:rPr>
        <w:t>RdR</w:t>
      </w:r>
      <w:proofErr w:type="spellEnd"/>
      <w:r w:rsidRPr="002D4BA8">
        <w:rPr>
          <w:rFonts w:ascii="Times New Roman" w:hAnsi="Times New Roman"/>
          <w:lang w:val="fr-FR"/>
        </w:rPr>
        <w:t xml:space="preserve"> à l'échelle des 05 pays avec des recommandations techniques opérationnelles. </w:t>
      </w:r>
    </w:p>
    <w:p w:rsidR="00604A71" w:rsidRPr="002D4BA8" w:rsidRDefault="00C75749" w:rsidP="009F61F3">
      <w:pPr>
        <w:jc w:val="both"/>
        <w:rPr>
          <w:rFonts w:ascii="Times New Roman" w:hAnsi="Times New Roman"/>
          <w:lang w:val="fr-FR"/>
        </w:rPr>
      </w:pPr>
      <w:r w:rsidRPr="002D4BA8">
        <w:rPr>
          <w:rFonts w:ascii="Times New Roman" w:hAnsi="Times New Roman"/>
          <w:b/>
          <w:i/>
          <w:lang w:val="fr-FR"/>
        </w:rPr>
        <w:t xml:space="preserve">Activité </w:t>
      </w:r>
      <w:r w:rsidR="00604A71" w:rsidRPr="002D4BA8">
        <w:rPr>
          <w:rFonts w:ascii="Times New Roman" w:hAnsi="Times New Roman"/>
          <w:b/>
          <w:i/>
          <w:lang w:val="fr-FR"/>
        </w:rPr>
        <w:t>25</w:t>
      </w:r>
      <w:r w:rsidR="00604A71" w:rsidRPr="002D4BA8">
        <w:rPr>
          <w:rFonts w:ascii="Times New Roman" w:hAnsi="Times New Roman"/>
          <w:b/>
          <w:u w:val="single"/>
          <w:lang w:val="fr-FR"/>
        </w:rPr>
        <w:t xml:space="preserve"> </w:t>
      </w:r>
      <w:r w:rsidR="00604A71" w:rsidRPr="002D4BA8">
        <w:rPr>
          <w:rFonts w:ascii="Times New Roman" w:hAnsi="Times New Roman"/>
          <w:lang w:val="fr-FR"/>
        </w:rPr>
        <w:t>Elaborer</w:t>
      </w:r>
      <w:r w:rsidRPr="002D4BA8">
        <w:rPr>
          <w:rFonts w:ascii="Times New Roman" w:hAnsi="Times New Roman"/>
          <w:lang w:val="fr-FR"/>
        </w:rPr>
        <w:t xml:space="preserve"> les outils administratifs et juridiques pour le suivi des recommandations techniques permettant d'améliorer l'environnement juridique et l'accès aux services de </w:t>
      </w:r>
      <w:proofErr w:type="spellStart"/>
      <w:r w:rsidRPr="002D4BA8">
        <w:rPr>
          <w:rFonts w:ascii="Times New Roman" w:hAnsi="Times New Roman"/>
          <w:lang w:val="fr-FR"/>
        </w:rPr>
        <w:t>RdR</w:t>
      </w:r>
      <w:proofErr w:type="spellEnd"/>
      <w:r w:rsidRPr="002D4BA8">
        <w:rPr>
          <w:rFonts w:ascii="Times New Roman" w:hAnsi="Times New Roman"/>
          <w:lang w:val="fr-FR"/>
        </w:rPr>
        <w:t xml:space="preserve">. </w:t>
      </w:r>
    </w:p>
    <w:p w:rsidR="00E20AFD" w:rsidRPr="002D4BA8" w:rsidRDefault="00C75749" w:rsidP="009F61F3">
      <w:pPr>
        <w:jc w:val="both"/>
        <w:rPr>
          <w:rFonts w:ascii="Times New Roman" w:hAnsi="Times New Roman"/>
          <w:lang w:val="fr-FR"/>
        </w:rPr>
      </w:pPr>
      <w:r w:rsidRPr="002D4BA8">
        <w:rPr>
          <w:rFonts w:ascii="Times New Roman" w:hAnsi="Times New Roman"/>
          <w:b/>
          <w:i/>
          <w:lang w:val="fr-FR"/>
        </w:rPr>
        <w:t>Activités 46 et 124 à 127</w:t>
      </w:r>
      <w:r w:rsidRPr="002D4BA8">
        <w:rPr>
          <w:rFonts w:ascii="Times New Roman" w:hAnsi="Times New Roman"/>
          <w:b/>
          <w:u w:val="single"/>
          <w:lang w:val="fr-FR"/>
        </w:rPr>
        <w:t xml:space="preserve"> </w:t>
      </w:r>
      <w:r w:rsidRPr="002D4BA8">
        <w:rPr>
          <w:rFonts w:ascii="Times New Roman" w:hAnsi="Times New Roman"/>
          <w:lang w:val="fr-FR"/>
        </w:rPr>
        <w:t xml:space="preserve">Former des associations partenaires de la NCR sur l'approche  droits humains des CDI et à l'utilisation de l'outil </w:t>
      </w:r>
      <w:proofErr w:type="spellStart"/>
      <w:r w:rsidRPr="002D4BA8">
        <w:rPr>
          <w:rFonts w:ascii="Times New Roman" w:hAnsi="Times New Roman"/>
          <w:lang w:val="fr-FR"/>
        </w:rPr>
        <w:t>REAct</w:t>
      </w:r>
      <w:proofErr w:type="spellEnd"/>
      <w:r w:rsidRPr="002D4BA8">
        <w:rPr>
          <w:rFonts w:ascii="Times New Roman" w:hAnsi="Times New Roman"/>
          <w:lang w:val="fr-FR"/>
        </w:rPr>
        <w:t xml:space="preserve"> (Alliance Internationale) </w:t>
      </w:r>
      <w:r w:rsidR="007B330C">
        <w:rPr>
          <w:rFonts w:ascii="Times New Roman" w:hAnsi="Times New Roman"/>
          <w:lang w:val="fr-FR"/>
        </w:rPr>
        <w:t xml:space="preserve">au Burkina Faso, au Cap Vert, </w:t>
      </w:r>
      <w:r w:rsidR="00604A71" w:rsidRPr="002D4BA8">
        <w:rPr>
          <w:rFonts w:ascii="Times New Roman" w:hAnsi="Times New Roman"/>
          <w:lang w:val="fr-FR"/>
        </w:rPr>
        <w:t xml:space="preserve">en </w:t>
      </w:r>
      <w:r w:rsidR="00115A9B" w:rsidRPr="002D4BA8">
        <w:rPr>
          <w:rFonts w:ascii="Times New Roman" w:hAnsi="Times New Roman"/>
          <w:lang w:val="fr-FR"/>
        </w:rPr>
        <w:t>Côte</w:t>
      </w:r>
      <w:r w:rsidRPr="002D4BA8">
        <w:rPr>
          <w:rFonts w:ascii="Times New Roman" w:hAnsi="Times New Roman"/>
          <w:lang w:val="fr-FR"/>
        </w:rPr>
        <w:t xml:space="preserve"> d'Ivoire, </w:t>
      </w:r>
      <w:r w:rsidR="007B330C">
        <w:rPr>
          <w:rFonts w:ascii="Times New Roman" w:hAnsi="Times New Roman"/>
          <w:lang w:val="fr-FR"/>
        </w:rPr>
        <w:t>en Guin</w:t>
      </w:r>
      <w:r w:rsidRPr="002D4BA8">
        <w:rPr>
          <w:rFonts w:ascii="Times New Roman" w:hAnsi="Times New Roman"/>
          <w:lang w:val="fr-FR"/>
        </w:rPr>
        <w:t>ée Bissau, Sénégal.</w:t>
      </w:r>
    </w:p>
    <w:p w:rsidR="00C75749" w:rsidRPr="002D4BA8" w:rsidRDefault="00C75749" w:rsidP="009F61F3">
      <w:pPr>
        <w:jc w:val="both"/>
        <w:rPr>
          <w:rFonts w:ascii="Times New Roman" w:hAnsi="Times New Roman"/>
          <w:lang w:val="fr-FR"/>
        </w:rPr>
      </w:pPr>
      <w:r w:rsidRPr="002D4BA8">
        <w:rPr>
          <w:rFonts w:ascii="Times New Roman" w:hAnsi="Times New Roman"/>
          <w:b/>
          <w:i/>
          <w:lang w:val="fr-FR"/>
        </w:rPr>
        <w:t>Activité 84</w:t>
      </w:r>
      <w:r w:rsidRPr="002D4BA8">
        <w:rPr>
          <w:rFonts w:ascii="Times New Roman" w:hAnsi="Times New Roman"/>
          <w:b/>
          <w:u w:val="single"/>
          <w:lang w:val="fr-FR"/>
        </w:rPr>
        <w:t xml:space="preserve"> </w:t>
      </w:r>
      <w:r w:rsidRPr="002D4BA8">
        <w:rPr>
          <w:rFonts w:ascii="Times New Roman" w:hAnsi="Times New Roman"/>
          <w:lang w:val="fr-FR"/>
        </w:rPr>
        <w:t xml:space="preserve">Assurer une Assistance technique Internationale pour appuyer la mise en œuvre du programme régional au niveau communautaire et des acteurs de santé. </w:t>
      </w:r>
    </w:p>
    <w:p w:rsidR="00AD5A0D" w:rsidRPr="002D4BA8" w:rsidRDefault="00AD5A0D" w:rsidP="00AD5A0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fr-FR"/>
        </w:rPr>
      </w:pPr>
      <w:r w:rsidRPr="002D4BA8">
        <w:rPr>
          <w:rFonts w:ascii="Times New Roman" w:hAnsi="Times New Roman"/>
          <w:b/>
          <w:i/>
          <w:sz w:val="24"/>
          <w:szCs w:val="24"/>
          <w:lang w:val="fr-FR"/>
        </w:rPr>
        <w:lastRenderedPageBreak/>
        <w:t xml:space="preserve">Les tâches du </w:t>
      </w:r>
      <w:r w:rsidR="00E20AFD" w:rsidRPr="002D4BA8">
        <w:rPr>
          <w:rFonts w:ascii="Times New Roman" w:hAnsi="Times New Roman"/>
          <w:b/>
          <w:i/>
          <w:sz w:val="24"/>
          <w:szCs w:val="24"/>
          <w:lang w:val="fr-FR"/>
        </w:rPr>
        <w:t>Consultant</w:t>
      </w:r>
      <w:r w:rsidRPr="002D4BA8">
        <w:rPr>
          <w:rFonts w:ascii="Times New Roman" w:hAnsi="Times New Roman"/>
          <w:b/>
          <w:i/>
          <w:sz w:val="24"/>
          <w:szCs w:val="24"/>
          <w:lang w:val="fr-FR"/>
        </w:rPr>
        <w:t xml:space="preserve"> du LOT </w:t>
      </w:r>
      <w:r w:rsidR="00E20AFD" w:rsidRPr="002D4BA8">
        <w:rPr>
          <w:rFonts w:ascii="Times New Roman" w:hAnsi="Times New Roman"/>
          <w:b/>
          <w:i/>
          <w:sz w:val="24"/>
          <w:szCs w:val="24"/>
          <w:lang w:val="fr-FR"/>
        </w:rPr>
        <w:t>G</w:t>
      </w:r>
    </w:p>
    <w:p w:rsidR="002D4BA8" w:rsidRPr="00604A71" w:rsidRDefault="002D4BA8" w:rsidP="00AD5A0D">
      <w:pPr>
        <w:spacing w:after="0" w:line="240" w:lineRule="auto"/>
        <w:jc w:val="both"/>
        <w:rPr>
          <w:rFonts w:ascii="Times New Roman" w:hAnsi="Times New Roman"/>
          <w:b/>
          <w:i/>
          <w:lang w:val="fr-FR"/>
        </w:rPr>
      </w:pPr>
    </w:p>
    <w:p w:rsidR="005357E4" w:rsidRPr="002D4BA8" w:rsidRDefault="00AD5A0D" w:rsidP="00F82F0D">
      <w:pPr>
        <w:pStyle w:val="Paragraphedeliste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lang w:val="fr-FR"/>
        </w:rPr>
      </w:pPr>
      <w:r w:rsidRPr="00604A71">
        <w:rPr>
          <w:rFonts w:ascii="Times New Roman" w:hAnsi="Times New Roman"/>
          <w:lang w:val="fr-FR"/>
        </w:rPr>
        <w:t xml:space="preserve">En collaboration avec le </w:t>
      </w:r>
      <w:r w:rsidR="008F28D9" w:rsidRPr="00604A71">
        <w:rPr>
          <w:rFonts w:ascii="Times New Roman" w:hAnsi="Times New Roman"/>
          <w:lang w:val="fr-FR"/>
        </w:rPr>
        <w:t>Bureau Régional du Projet, r</w:t>
      </w:r>
      <w:r w:rsidR="005357E4" w:rsidRPr="002D4BA8">
        <w:rPr>
          <w:rFonts w:ascii="Times New Roman" w:hAnsi="Times New Roman"/>
          <w:lang w:val="fr-FR"/>
        </w:rPr>
        <w:t>éaliser un état des lieux pour l'analyse des obstacles juridiques et systémiques (santé, sécurité etc..) à la mise en œuvre des stratégie</w:t>
      </w:r>
      <w:r w:rsidR="006E4493" w:rsidRPr="002D4BA8">
        <w:rPr>
          <w:rFonts w:ascii="Times New Roman" w:hAnsi="Times New Roman"/>
          <w:lang w:val="fr-FR"/>
        </w:rPr>
        <w:t xml:space="preserve">s de </w:t>
      </w:r>
      <w:proofErr w:type="spellStart"/>
      <w:r w:rsidR="006E4493" w:rsidRPr="002D4BA8">
        <w:rPr>
          <w:rFonts w:ascii="Times New Roman" w:hAnsi="Times New Roman"/>
          <w:lang w:val="fr-FR"/>
        </w:rPr>
        <w:t>RdR</w:t>
      </w:r>
      <w:proofErr w:type="spellEnd"/>
      <w:r w:rsidR="006E4493" w:rsidRPr="002D4BA8">
        <w:rPr>
          <w:rFonts w:ascii="Times New Roman" w:hAnsi="Times New Roman"/>
          <w:lang w:val="fr-FR"/>
        </w:rPr>
        <w:t xml:space="preserve"> à l'échelle des 05 pay</w:t>
      </w:r>
      <w:r w:rsidR="005357E4" w:rsidRPr="002D4BA8">
        <w:rPr>
          <w:rFonts w:ascii="Times New Roman" w:hAnsi="Times New Roman"/>
          <w:lang w:val="fr-FR"/>
        </w:rPr>
        <w:t xml:space="preserve">s. </w:t>
      </w:r>
    </w:p>
    <w:p w:rsidR="005357E4" w:rsidRPr="002D4BA8" w:rsidRDefault="008F28D9" w:rsidP="005357E4">
      <w:pPr>
        <w:pStyle w:val="Paragraphedeliste"/>
        <w:numPr>
          <w:ilvl w:val="0"/>
          <w:numId w:val="38"/>
        </w:numPr>
        <w:jc w:val="both"/>
        <w:rPr>
          <w:rFonts w:ascii="Times New Roman" w:hAnsi="Times New Roman"/>
          <w:lang w:val="fr-FR"/>
        </w:rPr>
      </w:pPr>
      <w:r w:rsidRPr="00604A71">
        <w:rPr>
          <w:rFonts w:ascii="Times New Roman" w:hAnsi="Times New Roman"/>
          <w:lang w:val="fr-FR"/>
        </w:rPr>
        <w:t>En collaboration avec le Bureau Régional du Projet</w:t>
      </w:r>
      <w:r w:rsidRPr="002D4BA8">
        <w:rPr>
          <w:rFonts w:ascii="Times New Roman" w:hAnsi="Times New Roman"/>
          <w:lang w:val="fr-FR"/>
        </w:rPr>
        <w:t>, é</w:t>
      </w:r>
      <w:r w:rsidR="005357E4" w:rsidRPr="002D4BA8">
        <w:rPr>
          <w:rFonts w:ascii="Times New Roman" w:hAnsi="Times New Roman"/>
          <w:lang w:val="fr-FR"/>
        </w:rPr>
        <w:t xml:space="preserve">laborer les outils administratifs et juridiques pour le suivi des recommandations techniques permettant d'améliorer l'environnement juridique et l'accès aux services de </w:t>
      </w:r>
      <w:proofErr w:type="spellStart"/>
      <w:r w:rsidR="005357E4" w:rsidRPr="002D4BA8">
        <w:rPr>
          <w:rFonts w:ascii="Times New Roman" w:hAnsi="Times New Roman"/>
          <w:lang w:val="fr-FR"/>
        </w:rPr>
        <w:t>RdR</w:t>
      </w:r>
      <w:proofErr w:type="spellEnd"/>
      <w:r w:rsidR="005357E4" w:rsidRPr="002D4BA8">
        <w:rPr>
          <w:rFonts w:ascii="Times New Roman" w:hAnsi="Times New Roman"/>
          <w:lang w:val="fr-FR"/>
        </w:rPr>
        <w:t xml:space="preserve">. </w:t>
      </w:r>
    </w:p>
    <w:p w:rsidR="005357E4" w:rsidRPr="002D4BA8" w:rsidRDefault="008F28D9" w:rsidP="005357E4">
      <w:pPr>
        <w:pStyle w:val="Paragraphedeliste"/>
        <w:numPr>
          <w:ilvl w:val="0"/>
          <w:numId w:val="38"/>
        </w:numPr>
        <w:jc w:val="both"/>
        <w:rPr>
          <w:rFonts w:ascii="Times New Roman" w:hAnsi="Times New Roman"/>
          <w:lang w:val="fr-FR"/>
        </w:rPr>
      </w:pPr>
      <w:r w:rsidRPr="00604A71">
        <w:rPr>
          <w:rFonts w:ascii="Times New Roman" w:hAnsi="Times New Roman"/>
          <w:lang w:val="fr-FR"/>
        </w:rPr>
        <w:t>En collaboration avec le Bureau Régional du Projet</w:t>
      </w:r>
      <w:r w:rsidRPr="002D4BA8">
        <w:rPr>
          <w:rFonts w:ascii="Times New Roman" w:hAnsi="Times New Roman"/>
          <w:i/>
          <w:lang w:val="fr-FR"/>
        </w:rPr>
        <w:t>, f</w:t>
      </w:r>
      <w:r w:rsidR="005357E4" w:rsidRPr="002D4BA8">
        <w:rPr>
          <w:rFonts w:ascii="Times New Roman" w:hAnsi="Times New Roman"/>
          <w:lang w:val="fr-FR"/>
        </w:rPr>
        <w:t xml:space="preserve">ormer des associations partenaires de la NCR sur l'approche  droits humains des CDI et à l'utilisation de l'outil </w:t>
      </w:r>
      <w:proofErr w:type="spellStart"/>
      <w:r w:rsidR="005357E4" w:rsidRPr="002D4BA8">
        <w:rPr>
          <w:rFonts w:ascii="Times New Roman" w:hAnsi="Times New Roman"/>
          <w:lang w:val="fr-FR"/>
        </w:rPr>
        <w:t>REAct</w:t>
      </w:r>
      <w:proofErr w:type="spellEnd"/>
      <w:r w:rsidR="00DF7CDA" w:rsidRPr="002D4BA8">
        <w:rPr>
          <w:rFonts w:ascii="Times New Roman" w:hAnsi="Times New Roman"/>
          <w:lang w:val="fr-FR"/>
        </w:rPr>
        <w:t xml:space="preserve"> </w:t>
      </w:r>
      <w:r w:rsidR="00C2592C" w:rsidRPr="002D4BA8">
        <w:rPr>
          <w:rFonts w:ascii="Times New Roman" w:hAnsi="Times New Roman"/>
          <w:lang w:val="fr-FR"/>
        </w:rPr>
        <w:t xml:space="preserve">au Burkina Faso, </w:t>
      </w:r>
      <w:r w:rsidR="00DF7CDA" w:rsidRPr="002D4BA8">
        <w:rPr>
          <w:rFonts w:ascii="Times New Roman" w:hAnsi="Times New Roman"/>
          <w:lang w:val="fr-FR"/>
        </w:rPr>
        <w:t>en</w:t>
      </w:r>
      <w:r w:rsidR="005357E4" w:rsidRPr="002D4BA8">
        <w:rPr>
          <w:rFonts w:ascii="Times New Roman" w:hAnsi="Times New Roman"/>
          <w:lang w:val="fr-FR"/>
        </w:rPr>
        <w:t xml:space="preserve"> </w:t>
      </w:r>
      <w:proofErr w:type="spellStart"/>
      <w:r w:rsidR="005357E4" w:rsidRPr="002D4BA8">
        <w:rPr>
          <w:rFonts w:ascii="Times New Roman" w:hAnsi="Times New Roman"/>
          <w:lang w:val="fr-FR"/>
        </w:rPr>
        <w:t>Cote</w:t>
      </w:r>
      <w:proofErr w:type="spellEnd"/>
      <w:r w:rsidR="005357E4" w:rsidRPr="002D4BA8">
        <w:rPr>
          <w:rFonts w:ascii="Times New Roman" w:hAnsi="Times New Roman"/>
          <w:lang w:val="fr-FR"/>
        </w:rPr>
        <w:t xml:space="preserve"> d'Ivoire, </w:t>
      </w:r>
      <w:r w:rsidR="00DF7CDA" w:rsidRPr="002D4BA8">
        <w:rPr>
          <w:rFonts w:ascii="Times New Roman" w:hAnsi="Times New Roman"/>
          <w:lang w:val="fr-FR"/>
        </w:rPr>
        <w:t xml:space="preserve">au </w:t>
      </w:r>
      <w:r w:rsidR="005357E4" w:rsidRPr="002D4BA8">
        <w:rPr>
          <w:rFonts w:ascii="Times New Roman" w:hAnsi="Times New Roman"/>
          <w:lang w:val="fr-FR"/>
        </w:rPr>
        <w:t xml:space="preserve">Cap Vert, </w:t>
      </w:r>
      <w:r w:rsidR="00DF7CDA" w:rsidRPr="002D4BA8">
        <w:rPr>
          <w:rFonts w:ascii="Times New Roman" w:hAnsi="Times New Roman"/>
          <w:lang w:val="fr-FR"/>
        </w:rPr>
        <w:t xml:space="preserve">en </w:t>
      </w:r>
      <w:r w:rsidR="005357E4" w:rsidRPr="002D4BA8">
        <w:rPr>
          <w:rFonts w:ascii="Times New Roman" w:hAnsi="Times New Roman"/>
          <w:lang w:val="fr-FR"/>
        </w:rPr>
        <w:t>Guinée Bissau</w:t>
      </w:r>
      <w:r w:rsidR="00DF7CDA" w:rsidRPr="002D4BA8">
        <w:rPr>
          <w:rFonts w:ascii="Times New Roman" w:hAnsi="Times New Roman"/>
          <w:lang w:val="fr-FR"/>
        </w:rPr>
        <w:t xml:space="preserve"> et au </w:t>
      </w:r>
      <w:r w:rsidR="005357E4" w:rsidRPr="002D4BA8">
        <w:rPr>
          <w:rFonts w:ascii="Times New Roman" w:hAnsi="Times New Roman"/>
          <w:lang w:val="fr-FR"/>
        </w:rPr>
        <w:t xml:space="preserve">Sénégal. </w:t>
      </w:r>
    </w:p>
    <w:p w:rsidR="00EB4871" w:rsidRPr="00604A71" w:rsidRDefault="00EB4871" w:rsidP="00DC3B7B">
      <w:pPr>
        <w:pStyle w:val="Paragraphedeliste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i/>
          <w:lang w:val="fr-FR"/>
        </w:rPr>
      </w:pPr>
      <w:r w:rsidRPr="00604A71">
        <w:rPr>
          <w:rFonts w:ascii="Times New Roman" w:hAnsi="Times New Roman"/>
          <w:lang w:val="fr-FR"/>
        </w:rPr>
        <w:t>En collaboration avec le Bureau Régional du Projet</w:t>
      </w:r>
      <w:r w:rsidRPr="002D4BA8">
        <w:rPr>
          <w:rFonts w:ascii="Times New Roman" w:hAnsi="Times New Roman"/>
          <w:i/>
          <w:lang w:val="fr-FR"/>
        </w:rPr>
        <w:t>, a</w:t>
      </w:r>
      <w:r w:rsidR="005357E4" w:rsidRPr="002D4BA8">
        <w:rPr>
          <w:rFonts w:ascii="Times New Roman" w:hAnsi="Times New Roman"/>
          <w:lang w:val="fr-FR"/>
        </w:rPr>
        <w:t xml:space="preserve">ssurer une Assistance technique Internationale pour appuyer la mise en œuvre du programme régional au niveau communautaire et des acteurs de santé. </w:t>
      </w:r>
    </w:p>
    <w:p w:rsidR="00EB4871" w:rsidRPr="00604A71" w:rsidRDefault="00EB4871" w:rsidP="00EB4871">
      <w:pPr>
        <w:pStyle w:val="Paragraphedeliste"/>
        <w:spacing w:after="0" w:line="240" w:lineRule="auto"/>
        <w:ind w:left="1080"/>
        <w:jc w:val="both"/>
        <w:rPr>
          <w:rFonts w:ascii="Times New Roman" w:hAnsi="Times New Roman"/>
          <w:b/>
          <w:i/>
          <w:lang w:val="fr-FR"/>
        </w:rPr>
      </w:pPr>
    </w:p>
    <w:p w:rsidR="00AD5A0D" w:rsidRPr="002D4BA8" w:rsidRDefault="00AD5A0D" w:rsidP="00EB487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fr-FR"/>
        </w:rPr>
      </w:pPr>
      <w:r w:rsidRPr="002D4BA8">
        <w:rPr>
          <w:rFonts w:ascii="Times New Roman" w:hAnsi="Times New Roman"/>
          <w:b/>
          <w:i/>
          <w:sz w:val="24"/>
          <w:szCs w:val="24"/>
          <w:lang w:val="fr-FR"/>
        </w:rPr>
        <w:t xml:space="preserve">Les livrables attendus du Consultant du LOT </w:t>
      </w:r>
      <w:r w:rsidR="00DF7CDA" w:rsidRPr="002D4BA8">
        <w:rPr>
          <w:rFonts w:ascii="Times New Roman" w:hAnsi="Times New Roman"/>
          <w:b/>
          <w:i/>
          <w:sz w:val="24"/>
          <w:szCs w:val="24"/>
          <w:lang w:val="fr-FR"/>
        </w:rPr>
        <w:t>G</w:t>
      </w:r>
    </w:p>
    <w:p w:rsidR="002D4BA8" w:rsidRPr="00604A71" w:rsidRDefault="002D4BA8" w:rsidP="00EB4871">
      <w:pPr>
        <w:spacing w:after="0" w:line="240" w:lineRule="auto"/>
        <w:jc w:val="both"/>
        <w:rPr>
          <w:rFonts w:ascii="Times New Roman" w:hAnsi="Times New Roman"/>
          <w:b/>
          <w:i/>
          <w:lang w:val="fr-FR"/>
        </w:rPr>
      </w:pPr>
    </w:p>
    <w:p w:rsidR="00DF7CDA" w:rsidRPr="002D4BA8" w:rsidRDefault="00DF7CDA" w:rsidP="00DF7CDA">
      <w:pPr>
        <w:pStyle w:val="Paragraphedeliste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lang w:val="fr-FR"/>
        </w:rPr>
      </w:pPr>
      <w:r w:rsidRPr="00604A71">
        <w:rPr>
          <w:rFonts w:ascii="Times New Roman" w:hAnsi="Times New Roman"/>
          <w:lang w:val="fr-FR"/>
        </w:rPr>
        <w:t>Document sur l’</w:t>
      </w:r>
      <w:r w:rsidRPr="002D4BA8">
        <w:rPr>
          <w:rFonts w:ascii="Times New Roman" w:hAnsi="Times New Roman"/>
          <w:lang w:val="fr-FR"/>
        </w:rPr>
        <w:t xml:space="preserve">état des lieux pour l'analyse des obstacles juridiques et systémiques (santé, sécurité etc..) à la mise en œuvre des stratégies de </w:t>
      </w:r>
      <w:proofErr w:type="spellStart"/>
      <w:r w:rsidRPr="002D4BA8">
        <w:rPr>
          <w:rFonts w:ascii="Times New Roman" w:hAnsi="Times New Roman"/>
          <w:lang w:val="fr-FR"/>
        </w:rPr>
        <w:t>RdR</w:t>
      </w:r>
      <w:proofErr w:type="spellEnd"/>
      <w:r w:rsidRPr="002D4BA8">
        <w:rPr>
          <w:rFonts w:ascii="Times New Roman" w:hAnsi="Times New Roman"/>
          <w:lang w:val="fr-FR"/>
        </w:rPr>
        <w:t xml:space="preserve"> à l'échelle des 05 pays avec des recommandations techniques opérationnelles. </w:t>
      </w:r>
    </w:p>
    <w:p w:rsidR="00DF7CDA" w:rsidRPr="002D4BA8" w:rsidRDefault="007A7819" w:rsidP="00DF7CDA">
      <w:pPr>
        <w:pStyle w:val="Paragraphedeliste"/>
        <w:numPr>
          <w:ilvl w:val="0"/>
          <w:numId w:val="38"/>
        </w:numPr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L</w:t>
      </w:r>
      <w:r w:rsidR="00DF7CDA" w:rsidRPr="00604A71">
        <w:rPr>
          <w:rFonts w:ascii="Times New Roman" w:hAnsi="Times New Roman"/>
          <w:lang w:val="fr-FR"/>
        </w:rPr>
        <w:t xml:space="preserve">es </w:t>
      </w:r>
      <w:r w:rsidR="00DF7CDA" w:rsidRPr="002D4BA8">
        <w:rPr>
          <w:rFonts w:ascii="Times New Roman" w:hAnsi="Times New Roman"/>
          <w:lang w:val="fr-FR"/>
        </w:rPr>
        <w:t xml:space="preserve">outils administratifs et juridiques élaborés pour le suivi des recommandations techniques permettant d'améliorer l'environnement juridique et l'accès aux services de </w:t>
      </w:r>
      <w:proofErr w:type="spellStart"/>
      <w:r w:rsidR="00DF7CDA" w:rsidRPr="002D4BA8">
        <w:rPr>
          <w:rFonts w:ascii="Times New Roman" w:hAnsi="Times New Roman"/>
          <w:lang w:val="fr-FR"/>
        </w:rPr>
        <w:t>RdR</w:t>
      </w:r>
      <w:proofErr w:type="spellEnd"/>
      <w:r w:rsidR="00DF7CDA" w:rsidRPr="002D4BA8">
        <w:rPr>
          <w:rFonts w:ascii="Times New Roman" w:hAnsi="Times New Roman"/>
          <w:lang w:val="fr-FR"/>
        </w:rPr>
        <w:t xml:space="preserve">. </w:t>
      </w:r>
    </w:p>
    <w:p w:rsidR="00DF7CDA" w:rsidRPr="00604A71" w:rsidRDefault="00DF7CDA" w:rsidP="00C03505">
      <w:pPr>
        <w:pStyle w:val="Paragraphedeliste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lang w:val="fr-FR"/>
        </w:rPr>
      </w:pPr>
      <w:r w:rsidRPr="00604A71">
        <w:rPr>
          <w:rFonts w:ascii="Times New Roman" w:hAnsi="Times New Roman"/>
          <w:lang w:val="fr-FR"/>
        </w:rPr>
        <w:t>Rapport</w:t>
      </w:r>
      <w:r w:rsidR="005C7CDA">
        <w:rPr>
          <w:rFonts w:ascii="Times New Roman" w:hAnsi="Times New Roman"/>
          <w:lang w:val="fr-FR"/>
        </w:rPr>
        <w:t>s</w:t>
      </w:r>
      <w:r w:rsidRPr="00604A71">
        <w:rPr>
          <w:rFonts w:ascii="Times New Roman" w:hAnsi="Times New Roman"/>
          <w:lang w:val="fr-FR"/>
        </w:rPr>
        <w:t xml:space="preserve"> de f</w:t>
      </w:r>
      <w:r w:rsidRPr="002D4BA8">
        <w:rPr>
          <w:rFonts w:ascii="Times New Roman" w:hAnsi="Times New Roman"/>
          <w:lang w:val="fr-FR"/>
        </w:rPr>
        <w:t>ormation</w:t>
      </w:r>
      <w:r w:rsidR="005C7CDA" w:rsidRPr="002D4BA8">
        <w:rPr>
          <w:rFonts w:ascii="Times New Roman" w:hAnsi="Times New Roman"/>
          <w:lang w:val="fr-FR"/>
        </w:rPr>
        <w:t>s</w:t>
      </w:r>
      <w:r w:rsidRPr="002D4BA8">
        <w:rPr>
          <w:rFonts w:ascii="Times New Roman" w:hAnsi="Times New Roman"/>
          <w:lang w:val="fr-FR"/>
        </w:rPr>
        <w:t xml:space="preserve"> des associations partenaires d</w:t>
      </w:r>
      <w:r w:rsidR="005C7CDA" w:rsidRPr="002D4BA8">
        <w:rPr>
          <w:rFonts w:ascii="Times New Roman" w:hAnsi="Times New Roman"/>
          <w:lang w:val="fr-FR"/>
        </w:rPr>
        <w:t>u PARECO</w:t>
      </w:r>
      <w:r w:rsidRPr="002D4BA8">
        <w:rPr>
          <w:rFonts w:ascii="Times New Roman" w:hAnsi="Times New Roman"/>
          <w:lang w:val="fr-FR"/>
        </w:rPr>
        <w:t xml:space="preserve"> sur l'approche droits humains des CDI et </w:t>
      </w:r>
      <w:r w:rsidR="005C7CDA" w:rsidRPr="002D4BA8">
        <w:rPr>
          <w:rFonts w:ascii="Times New Roman" w:hAnsi="Times New Roman"/>
          <w:lang w:val="fr-FR"/>
        </w:rPr>
        <w:t xml:space="preserve">sur </w:t>
      </w:r>
      <w:r w:rsidRPr="002D4BA8">
        <w:rPr>
          <w:rFonts w:ascii="Times New Roman" w:hAnsi="Times New Roman"/>
          <w:lang w:val="fr-FR"/>
        </w:rPr>
        <w:t xml:space="preserve">l'utilisation de l'outil </w:t>
      </w:r>
      <w:proofErr w:type="spellStart"/>
      <w:r w:rsidRPr="002D4BA8">
        <w:rPr>
          <w:rFonts w:ascii="Times New Roman" w:hAnsi="Times New Roman"/>
          <w:lang w:val="fr-FR"/>
        </w:rPr>
        <w:t>REAct</w:t>
      </w:r>
      <w:proofErr w:type="spellEnd"/>
      <w:r w:rsidRPr="002D4BA8">
        <w:rPr>
          <w:rFonts w:ascii="Times New Roman" w:hAnsi="Times New Roman"/>
          <w:lang w:val="fr-FR"/>
        </w:rPr>
        <w:t xml:space="preserve"> d’Alliance Internationale. </w:t>
      </w:r>
    </w:p>
    <w:p w:rsidR="00AD5A0D" w:rsidRPr="00604A71" w:rsidRDefault="00DF7CDA" w:rsidP="00C03505">
      <w:pPr>
        <w:pStyle w:val="Paragraphedeliste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lang w:val="fr-FR"/>
        </w:rPr>
      </w:pPr>
      <w:r w:rsidRPr="002D4BA8">
        <w:rPr>
          <w:rFonts w:ascii="Times New Roman" w:hAnsi="Times New Roman"/>
          <w:lang w:val="fr-FR"/>
        </w:rPr>
        <w:t>Rapports et compte rendu de l’Assistance technique fournie dans la mise en œuvre du programme régional au niveau communautaire et des acteurs de santé.</w:t>
      </w:r>
    </w:p>
    <w:p w:rsidR="00DF7CDA" w:rsidRPr="00604A71" w:rsidRDefault="00DF7CDA" w:rsidP="00AD5A0D">
      <w:pPr>
        <w:spacing w:after="0" w:line="240" w:lineRule="auto"/>
        <w:jc w:val="both"/>
        <w:rPr>
          <w:rFonts w:ascii="Times New Roman" w:hAnsi="Times New Roman"/>
          <w:b/>
          <w:i/>
          <w:lang w:val="fr-FR"/>
        </w:rPr>
      </w:pPr>
    </w:p>
    <w:p w:rsidR="00AD5A0D" w:rsidRPr="002D4BA8" w:rsidRDefault="00AD5A0D" w:rsidP="00AD5A0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fr-FR"/>
        </w:rPr>
      </w:pPr>
      <w:r w:rsidRPr="002D4BA8">
        <w:rPr>
          <w:rFonts w:ascii="Times New Roman" w:hAnsi="Times New Roman"/>
          <w:b/>
          <w:i/>
          <w:sz w:val="24"/>
          <w:szCs w:val="24"/>
          <w:lang w:val="fr-FR"/>
        </w:rPr>
        <w:t xml:space="preserve">Le profil du Consultant du LOT </w:t>
      </w:r>
      <w:r w:rsidR="00380B9D" w:rsidRPr="002D4BA8">
        <w:rPr>
          <w:rFonts w:ascii="Times New Roman" w:hAnsi="Times New Roman"/>
          <w:b/>
          <w:i/>
          <w:sz w:val="24"/>
          <w:szCs w:val="24"/>
          <w:lang w:val="fr-FR"/>
        </w:rPr>
        <w:t>G</w:t>
      </w:r>
      <w:r w:rsidR="002D4BA8" w:rsidRPr="002D4BA8">
        <w:rPr>
          <w:rFonts w:ascii="Times New Roman" w:hAnsi="Times New Roman"/>
          <w:b/>
          <w:i/>
          <w:sz w:val="24"/>
          <w:szCs w:val="24"/>
          <w:lang w:val="fr-FR"/>
        </w:rPr>
        <w:t> </w:t>
      </w:r>
    </w:p>
    <w:p w:rsidR="002D4BA8" w:rsidRPr="00604A71" w:rsidRDefault="002D4BA8" w:rsidP="00AD5A0D">
      <w:pPr>
        <w:spacing w:after="0" w:line="240" w:lineRule="auto"/>
        <w:jc w:val="both"/>
        <w:rPr>
          <w:rFonts w:ascii="Times New Roman" w:hAnsi="Times New Roman"/>
          <w:b/>
          <w:i/>
          <w:lang w:val="fr-FR"/>
        </w:rPr>
      </w:pPr>
    </w:p>
    <w:p w:rsidR="00AD5A0D" w:rsidRPr="00604A71" w:rsidRDefault="00962943" w:rsidP="00AD5A0D">
      <w:pPr>
        <w:spacing w:after="0" w:line="240" w:lineRule="auto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L’Expert est un Spécialiste des </w:t>
      </w:r>
      <w:r w:rsidR="00190F0B" w:rsidRPr="00604A71">
        <w:rPr>
          <w:rFonts w:ascii="Times New Roman" w:hAnsi="Times New Roman"/>
          <w:lang w:val="fr-FR"/>
        </w:rPr>
        <w:t xml:space="preserve">Aspects juridiques et Droits humains. </w:t>
      </w:r>
    </w:p>
    <w:p w:rsidR="00190F0B" w:rsidRPr="00604A71" w:rsidRDefault="00AD5A0D" w:rsidP="00542401">
      <w:pPr>
        <w:pStyle w:val="Paragraphedeliste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lang w:val="fr-FR"/>
        </w:rPr>
      </w:pPr>
      <w:r w:rsidRPr="00604A71">
        <w:rPr>
          <w:rFonts w:ascii="Times New Roman" w:hAnsi="Times New Roman"/>
          <w:lang w:val="fr-FR"/>
        </w:rPr>
        <w:t xml:space="preserve">L’expert en </w:t>
      </w:r>
      <w:proofErr w:type="spellStart"/>
      <w:r w:rsidRPr="00604A71">
        <w:rPr>
          <w:rFonts w:ascii="Times New Roman" w:hAnsi="Times New Roman"/>
          <w:lang w:val="fr-FR"/>
        </w:rPr>
        <w:t>RdR</w:t>
      </w:r>
      <w:proofErr w:type="spellEnd"/>
      <w:r w:rsidRPr="00604A71">
        <w:rPr>
          <w:rFonts w:ascii="Times New Roman" w:hAnsi="Times New Roman"/>
          <w:lang w:val="fr-FR"/>
        </w:rPr>
        <w:t xml:space="preserve"> </w:t>
      </w:r>
      <w:r w:rsidR="00992935" w:rsidRPr="00604A71">
        <w:rPr>
          <w:rFonts w:ascii="Times New Roman" w:hAnsi="Times New Roman"/>
          <w:lang w:val="fr-FR"/>
        </w:rPr>
        <w:t xml:space="preserve">est titulaire d’un diplôme supérieur en </w:t>
      </w:r>
      <w:r w:rsidR="00190F0B" w:rsidRPr="00604A71">
        <w:rPr>
          <w:rFonts w:ascii="Times New Roman" w:hAnsi="Times New Roman"/>
          <w:lang w:val="fr-FR"/>
        </w:rPr>
        <w:t xml:space="preserve">science juridique, et </w:t>
      </w:r>
      <w:r w:rsidR="00962943">
        <w:rPr>
          <w:rFonts w:ascii="Times New Roman" w:hAnsi="Times New Roman"/>
          <w:lang w:val="fr-FR"/>
        </w:rPr>
        <w:t xml:space="preserve">doit </w:t>
      </w:r>
      <w:r w:rsidR="00190F0B" w:rsidRPr="00604A71">
        <w:rPr>
          <w:rFonts w:ascii="Times New Roman" w:hAnsi="Times New Roman"/>
          <w:lang w:val="fr-FR"/>
        </w:rPr>
        <w:t xml:space="preserve">démontrer </w:t>
      </w:r>
      <w:r w:rsidR="00962943">
        <w:rPr>
          <w:rFonts w:ascii="Times New Roman" w:hAnsi="Times New Roman"/>
          <w:lang w:val="fr-FR"/>
        </w:rPr>
        <w:t>d’</w:t>
      </w:r>
      <w:r w:rsidR="00190F0B" w:rsidRPr="00604A71">
        <w:rPr>
          <w:rFonts w:ascii="Times New Roman" w:hAnsi="Times New Roman"/>
          <w:lang w:val="fr-FR"/>
        </w:rPr>
        <w:t>une expérience de 05 ans au moins</w:t>
      </w:r>
      <w:r w:rsidR="0060350D">
        <w:rPr>
          <w:rFonts w:ascii="Times New Roman" w:hAnsi="Times New Roman"/>
          <w:lang w:val="fr-FR"/>
        </w:rPr>
        <w:t>,</w:t>
      </w:r>
      <w:r w:rsidR="00190F0B" w:rsidRPr="00604A71">
        <w:rPr>
          <w:rFonts w:ascii="Times New Roman" w:hAnsi="Times New Roman"/>
          <w:lang w:val="fr-FR"/>
        </w:rPr>
        <w:t xml:space="preserve"> de travail dans des organisations de défense et de promotion des Droits Humains particulièrement au niveau des programmes de lutte contre le Sida</w:t>
      </w:r>
      <w:r w:rsidR="00992935" w:rsidRPr="00604A71">
        <w:rPr>
          <w:rFonts w:ascii="Times New Roman" w:hAnsi="Times New Roman"/>
          <w:lang w:val="fr-FR"/>
        </w:rPr>
        <w:t>,</w:t>
      </w:r>
      <w:r w:rsidR="00190F0B" w:rsidRPr="00604A71">
        <w:rPr>
          <w:rFonts w:ascii="Times New Roman" w:hAnsi="Times New Roman"/>
          <w:lang w:val="fr-FR"/>
        </w:rPr>
        <w:t xml:space="preserve"> spécifiquement auprès des populations clés (HSH, PS, CDI). Il</w:t>
      </w:r>
      <w:r w:rsidR="00992935" w:rsidRPr="00604A71">
        <w:rPr>
          <w:rFonts w:ascii="Times New Roman" w:hAnsi="Times New Roman"/>
          <w:lang w:val="fr-FR"/>
        </w:rPr>
        <w:t xml:space="preserve"> doit </w:t>
      </w:r>
      <w:r w:rsidR="00190F0B" w:rsidRPr="00604A71">
        <w:rPr>
          <w:rFonts w:ascii="Times New Roman" w:hAnsi="Times New Roman"/>
          <w:lang w:val="fr-FR"/>
        </w:rPr>
        <w:t>avoir une forte connaissance des lois, législations et juridictions des pays de la CEDEAO. En plus, il</w:t>
      </w:r>
      <w:r w:rsidR="00992935" w:rsidRPr="00604A71">
        <w:rPr>
          <w:rFonts w:ascii="Times New Roman" w:hAnsi="Times New Roman"/>
          <w:lang w:val="fr-FR"/>
        </w:rPr>
        <w:t xml:space="preserve"> doi</w:t>
      </w:r>
      <w:r w:rsidR="00190F0B" w:rsidRPr="00604A71">
        <w:rPr>
          <w:rFonts w:ascii="Times New Roman" w:hAnsi="Times New Roman"/>
          <w:lang w:val="fr-FR"/>
        </w:rPr>
        <w:t xml:space="preserve">t attester d’une expérience dans l’élaboration de document et supports didactiques pour la formation sur les Droits humains et prouver </w:t>
      </w:r>
      <w:r w:rsidR="00992935" w:rsidRPr="00604A71">
        <w:rPr>
          <w:rFonts w:ascii="Times New Roman" w:hAnsi="Times New Roman"/>
          <w:lang w:val="fr-FR"/>
        </w:rPr>
        <w:t>ses</w:t>
      </w:r>
      <w:r w:rsidR="00190F0B" w:rsidRPr="00604A71">
        <w:rPr>
          <w:rFonts w:ascii="Times New Roman" w:hAnsi="Times New Roman"/>
          <w:lang w:val="fr-FR"/>
        </w:rPr>
        <w:t xml:space="preserve"> capacités en formation des adultes sur les Droits Humains. </w:t>
      </w:r>
    </w:p>
    <w:p w:rsidR="00AD5A0D" w:rsidRPr="002D4BA8" w:rsidRDefault="00AD5A0D" w:rsidP="00AD5A0D">
      <w:pPr>
        <w:spacing w:after="0" w:line="240" w:lineRule="auto"/>
        <w:jc w:val="both"/>
        <w:rPr>
          <w:rFonts w:ascii="Times New Roman" w:hAnsi="Times New Roman"/>
          <w:b/>
          <w:i/>
          <w:lang w:val="fr-FR"/>
        </w:rPr>
      </w:pPr>
    </w:p>
    <w:p w:rsidR="00AD5A0D" w:rsidRPr="002D4BA8" w:rsidRDefault="00AD5A0D" w:rsidP="00AD5A0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fr-FR"/>
        </w:rPr>
      </w:pPr>
      <w:r w:rsidRPr="002D4BA8">
        <w:rPr>
          <w:rFonts w:ascii="Times New Roman" w:hAnsi="Times New Roman"/>
          <w:b/>
          <w:i/>
          <w:sz w:val="24"/>
          <w:szCs w:val="24"/>
          <w:lang w:val="fr-FR"/>
        </w:rPr>
        <w:t>Durée et lieu des assistances techniques prévues</w:t>
      </w:r>
    </w:p>
    <w:p w:rsidR="002D4BA8" w:rsidRPr="002D4BA8" w:rsidRDefault="002D4BA8" w:rsidP="00AD5A0D">
      <w:pPr>
        <w:spacing w:after="0" w:line="240" w:lineRule="auto"/>
        <w:jc w:val="both"/>
        <w:rPr>
          <w:rFonts w:ascii="Times New Roman" w:hAnsi="Times New Roman"/>
          <w:b/>
          <w:i/>
          <w:lang w:val="fr-FR"/>
        </w:rPr>
      </w:pPr>
    </w:p>
    <w:p w:rsidR="00AD5A0D" w:rsidRPr="002D4BA8" w:rsidRDefault="00AD5A0D" w:rsidP="00AD5A0D">
      <w:pPr>
        <w:pStyle w:val="Paragraphedeliste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lang w:val="fr-FR"/>
        </w:rPr>
      </w:pPr>
      <w:r w:rsidRPr="002D4BA8">
        <w:rPr>
          <w:rFonts w:ascii="Times New Roman" w:hAnsi="Times New Roman"/>
          <w:lang w:val="fr-FR"/>
        </w:rPr>
        <w:t>Le nombre de jours prévisionnel pour cette assistance technique e</w:t>
      </w:r>
      <w:r w:rsidR="00992935" w:rsidRPr="002D4BA8">
        <w:rPr>
          <w:rFonts w:ascii="Times New Roman" w:hAnsi="Times New Roman"/>
          <w:lang w:val="fr-FR"/>
        </w:rPr>
        <w:t>st de</w:t>
      </w:r>
      <w:r w:rsidR="0060350D" w:rsidRPr="002D4BA8">
        <w:rPr>
          <w:rFonts w:ascii="Times New Roman" w:hAnsi="Times New Roman"/>
          <w:lang w:val="fr-FR"/>
        </w:rPr>
        <w:t xml:space="preserve"> 25 jours année 1.</w:t>
      </w:r>
    </w:p>
    <w:p w:rsidR="00AD5A0D" w:rsidRPr="002D4BA8" w:rsidRDefault="00AD5A0D" w:rsidP="00AD5A0D">
      <w:pPr>
        <w:pStyle w:val="Paragraphedeliste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lang w:val="fr-FR"/>
        </w:rPr>
      </w:pPr>
      <w:r w:rsidRPr="002D4BA8">
        <w:rPr>
          <w:rFonts w:ascii="Times New Roman" w:hAnsi="Times New Roman"/>
          <w:lang w:val="fr-FR"/>
        </w:rPr>
        <w:t xml:space="preserve">La période prévisionnelle de l’assistance technique est du 15 juillet au 31 décembre 2017 </w:t>
      </w:r>
    </w:p>
    <w:p w:rsidR="00992935" w:rsidRPr="002D4BA8" w:rsidRDefault="00992935" w:rsidP="00992935">
      <w:pPr>
        <w:pStyle w:val="Paragraphedeliste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lang w:val="fr-FR"/>
        </w:rPr>
      </w:pPr>
      <w:r w:rsidRPr="002D4BA8">
        <w:rPr>
          <w:rFonts w:ascii="Times New Roman" w:hAnsi="Times New Roman"/>
          <w:lang w:val="fr-FR"/>
        </w:rPr>
        <w:t>En cas d’expérience concluante, le Con</w:t>
      </w:r>
      <w:r w:rsidR="00115A9B">
        <w:rPr>
          <w:rFonts w:ascii="Times New Roman" w:hAnsi="Times New Roman"/>
          <w:lang w:val="fr-FR"/>
        </w:rPr>
        <w:t>sultant sera reconduit pour la d</w:t>
      </w:r>
      <w:r w:rsidRPr="002D4BA8">
        <w:rPr>
          <w:rFonts w:ascii="Times New Roman" w:hAnsi="Times New Roman"/>
          <w:lang w:val="fr-FR"/>
        </w:rPr>
        <w:t xml:space="preserve">euxième année de mise en </w:t>
      </w:r>
      <w:r w:rsidR="002D4BA8" w:rsidRPr="002D4BA8">
        <w:rPr>
          <w:rFonts w:ascii="Times New Roman" w:hAnsi="Times New Roman"/>
          <w:lang w:val="fr-FR"/>
        </w:rPr>
        <w:t>œuvre</w:t>
      </w:r>
      <w:r w:rsidRPr="002D4BA8">
        <w:rPr>
          <w:rFonts w:ascii="Times New Roman" w:hAnsi="Times New Roman"/>
          <w:lang w:val="fr-FR"/>
        </w:rPr>
        <w:t xml:space="preserve"> du projet.</w:t>
      </w:r>
    </w:p>
    <w:p w:rsidR="00115A9B" w:rsidRPr="002D4BA8" w:rsidRDefault="00992935" w:rsidP="00115A9B">
      <w:pPr>
        <w:pStyle w:val="Paragraphedeliste"/>
        <w:numPr>
          <w:ilvl w:val="0"/>
          <w:numId w:val="38"/>
        </w:numPr>
        <w:jc w:val="both"/>
        <w:rPr>
          <w:rFonts w:ascii="Times New Roman" w:hAnsi="Times New Roman"/>
          <w:lang w:val="fr-FR"/>
        </w:rPr>
      </w:pPr>
      <w:r w:rsidRPr="00115A9B">
        <w:rPr>
          <w:rFonts w:ascii="Times New Roman" w:hAnsi="Times New Roman"/>
          <w:lang w:val="fr-FR"/>
        </w:rPr>
        <w:t xml:space="preserve">Les zones d’interventions prévues sont le </w:t>
      </w:r>
      <w:r w:rsidR="00115A9B" w:rsidRPr="002D4BA8">
        <w:rPr>
          <w:rFonts w:ascii="Times New Roman" w:hAnsi="Times New Roman"/>
          <w:lang w:val="fr-FR"/>
        </w:rPr>
        <w:t xml:space="preserve">Burkina Faso, </w:t>
      </w:r>
      <w:r w:rsidR="00115A9B">
        <w:rPr>
          <w:rFonts w:ascii="Times New Roman" w:hAnsi="Times New Roman"/>
          <w:lang w:val="fr-FR"/>
        </w:rPr>
        <w:t>la</w:t>
      </w:r>
      <w:r w:rsidR="00115A9B" w:rsidRPr="002D4BA8">
        <w:rPr>
          <w:rFonts w:ascii="Times New Roman" w:hAnsi="Times New Roman"/>
          <w:lang w:val="fr-FR"/>
        </w:rPr>
        <w:t xml:space="preserve"> Cote d'Ivoire, </w:t>
      </w:r>
      <w:r w:rsidR="00115A9B">
        <w:rPr>
          <w:rFonts w:ascii="Times New Roman" w:hAnsi="Times New Roman"/>
          <w:lang w:val="fr-FR"/>
        </w:rPr>
        <w:t>le</w:t>
      </w:r>
      <w:r w:rsidR="00115A9B" w:rsidRPr="002D4BA8">
        <w:rPr>
          <w:rFonts w:ascii="Times New Roman" w:hAnsi="Times New Roman"/>
          <w:lang w:val="fr-FR"/>
        </w:rPr>
        <w:t xml:space="preserve"> Cap Vert, </w:t>
      </w:r>
      <w:r w:rsidR="00115A9B">
        <w:rPr>
          <w:rFonts w:ascii="Times New Roman" w:hAnsi="Times New Roman"/>
          <w:lang w:val="fr-FR"/>
        </w:rPr>
        <w:t xml:space="preserve">la </w:t>
      </w:r>
      <w:r w:rsidR="00115A9B" w:rsidRPr="002D4BA8">
        <w:rPr>
          <w:rFonts w:ascii="Times New Roman" w:hAnsi="Times New Roman"/>
          <w:lang w:val="fr-FR"/>
        </w:rPr>
        <w:t xml:space="preserve">Guinée Bissau et </w:t>
      </w:r>
      <w:r w:rsidR="00115A9B">
        <w:rPr>
          <w:rFonts w:ascii="Times New Roman" w:hAnsi="Times New Roman"/>
          <w:lang w:val="fr-FR"/>
        </w:rPr>
        <w:t xml:space="preserve">le </w:t>
      </w:r>
      <w:r w:rsidR="00115A9B" w:rsidRPr="002D4BA8">
        <w:rPr>
          <w:rFonts w:ascii="Times New Roman" w:hAnsi="Times New Roman"/>
          <w:lang w:val="fr-FR"/>
        </w:rPr>
        <w:t xml:space="preserve">Sénégal. </w:t>
      </w:r>
    </w:p>
    <w:p w:rsidR="00AD5A0D" w:rsidRPr="00115A9B" w:rsidRDefault="00AD5A0D" w:rsidP="00713DF2">
      <w:pPr>
        <w:pStyle w:val="Paragraphedeliste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lang w:val="fr-FR"/>
        </w:rPr>
      </w:pPr>
    </w:p>
    <w:p w:rsidR="002D4BA8" w:rsidRDefault="002D4BA8" w:rsidP="00AD5A0D">
      <w:pPr>
        <w:spacing w:after="0" w:line="240" w:lineRule="auto"/>
        <w:jc w:val="both"/>
        <w:rPr>
          <w:rFonts w:ascii="Times New Roman" w:hAnsi="Times New Roman"/>
          <w:b/>
          <w:i/>
          <w:lang w:val="fr-FR"/>
        </w:rPr>
      </w:pPr>
    </w:p>
    <w:p w:rsidR="002D4BA8" w:rsidRDefault="002D4BA8" w:rsidP="00AD5A0D">
      <w:pPr>
        <w:spacing w:after="0" w:line="240" w:lineRule="auto"/>
        <w:jc w:val="both"/>
        <w:rPr>
          <w:rFonts w:ascii="Times New Roman" w:hAnsi="Times New Roman"/>
          <w:b/>
          <w:i/>
          <w:lang w:val="fr-FR"/>
        </w:rPr>
      </w:pPr>
    </w:p>
    <w:p w:rsidR="002D4BA8" w:rsidRDefault="002D4BA8" w:rsidP="00AD5A0D">
      <w:pPr>
        <w:spacing w:after="0" w:line="240" w:lineRule="auto"/>
        <w:jc w:val="both"/>
        <w:rPr>
          <w:rFonts w:ascii="Times New Roman" w:hAnsi="Times New Roman"/>
          <w:b/>
          <w:i/>
          <w:lang w:val="fr-FR"/>
        </w:rPr>
      </w:pPr>
    </w:p>
    <w:p w:rsidR="002D4BA8" w:rsidRDefault="002D4BA8" w:rsidP="00AD5A0D">
      <w:pPr>
        <w:spacing w:after="0" w:line="240" w:lineRule="auto"/>
        <w:jc w:val="both"/>
        <w:rPr>
          <w:rFonts w:ascii="Times New Roman" w:hAnsi="Times New Roman"/>
          <w:b/>
          <w:i/>
          <w:lang w:val="fr-FR"/>
        </w:rPr>
      </w:pPr>
    </w:p>
    <w:p w:rsidR="00AD5A0D" w:rsidRPr="002D4BA8" w:rsidRDefault="00AD5A0D" w:rsidP="00AD5A0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fr-FR"/>
        </w:rPr>
      </w:pPr>
      <w:r w:rsidRPr="002D4BA8">
        <w:rPr>
          <w:rFonts w:ascii="Times New Roman" w:hAnsi="Times New Roman"/>
          <w:b/>
          <w:i/>
          <w:sz w:val="24"/>
          <w:szCs w:val="24"/>
          <w:lang w:val="fr-FR"/>
        </w:rPr>
        <w:lastRenderedPageBreak/>
        <w:t>Dossier de candidature</w:t>
      </w:r>
    </w:p>
    <w:p w:rsidR="002D4BA8" w:rsidRPr="002D4BA8" w:rsidRDefault="002D4BA8" w:rsidP="00AD5A0D">
      <w:pPr>
        <w:spacing w:after="0" w:line="240" w:lineRule="auto"/>
        <w:jc w:val="both"/>
        <w:rPr>
          <w:rFonts w:ascii="Times New Roman" w:hAnsi="Times New Roman"/>
          <w:b/>
          <w:i/>
          <w:lang w:val="fr-FR"/>
        </w:rPr>
      </w:pPr>
    </w:p>
    <w:p w:rsidR="00AD5A0D" w:rsidRPr="00604A71" w:rsidRDefault="00AD5A0D" w:rsidP="00AD5A0D">
      <w:pPr>
        <w:spacing w:after="0" w:line="240" w:lineRule="auto"/>
        <w:jc w:val="both"/>
        <w:rPr>
          <w:rFonts w:ascii="Times New Roman" w:hAnsi="Times New Roman"/>
          <w:lang w:val="fr-FR"/>
        </w:rPr>
      </w:pPr>
      <w:r w:rsidRPr="00604A71">
        <w:rPr>
          <w:rFonts w:ascii="Times New Roman" w:hAnsi="Times New Roman"/>
          <w:lang w:val="fr-FR"/>
        </w:rPr>
        <w:t>Les personnes et / ou Cabinet</w:t>
      </w:r>
      <w:r w:rsidR="00D21130">
        <w:rPr>
          <w:rFonts w:ascii="Times New Roman" w:hAnsi="Times New Roman"/>
          <w:lang w:val="fr-FR"/>
        </w:rPr>
        <w:t>s</w:t>
      </w:r>
      <w:r w:rsidRPr="00604A71">
        <w:rPr>
          <w:rFonts w:ascii="Times New Roman" w:hAnsi="Times New Roman"/>
          <w:lang w:val="fr-FR"/>
        </w:rPr>
        <w:t xml:space="preserve"> intéressés doivent déposer un dossier de candidatures comprenant :</w:t>
      </w:r>
    </w:p>
    <w:p w:rsidR="00AD5A0D" w:rsidRPr="00604A71" w:rsidRDefault="00AD5A0D" w:rsidP="00AD5A0D">
      <w:pPr>
        <w:pStyle w:val="Paragraphedeliste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lang w:val="fr-FR"/>
        </w:rPr>
      </w:pPr>
      <w:r w:rsidRPr="00604A71">
        <w:rPr>
          <w:rFonts w:ascii="Times New Roman" w:hAnsi="Times New Roman"/>
          <w:lang w:val="fr-FR"/>
        </w:rPr>
        <w:t>Une offre technique décrivant la compréhension des TDR, la méthodologie proposée, le planning d’intervention</w:t>
      </w:r>
    </w:p>
    <w:p w:rsidR="00AD5A0D" w:rsidRPr="00604A71" w:rsidRDefault="00AD5A0D" w:rsidP="00AD5A0D">
      <w:pPr>
        <w:pStyle w:val="Paragraphedeliste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lang w:val="fr-FR"/>
        </w:rPr>
      </w:pPr>
      <w:r w:rsidRPr="00604A71">
        <w:rPr>
          <w:rFonts w:ascii="Times New Roman" w:hAnsi="Times New Roman"/>
          <w:lang w:val="fr-FR"/>
        </w:rPr>
        <w:t>Une offre financière préci</w:t>
      </w:r>
      <w:r w:rsidR="00EC66ED">
        <w:rPr>
          <w:rFonts w:ascii="Times New Roman" w:hAnsi="Times New Roman"/>
          <w:lang w:val="fr-FR"/>
        </w:rPr>
        <w:t>sant les honoraires du Consultant</w:t>
      </w:r>
    </w:p>
    <w:p w:rsidR="00AD5A0D" w:rsidRPr="00604A71" w:rsidRDefault="00AD5A0D" w:rsidP="00AD5A0D">
      <w:pPr>
        <w:pStyle w:val="Paragraphedeliste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lang w:val="fr-FR"/>
        </w:rPr>
      </w:pPr>
      <w:r w:rsidRPr="00604A71">
        <w:rPr>
          <w:rFonts w:ascii="Times New Roman" w:hAnsi="Times New Roman"/>
          <w:lang w:val="fr-FR"/>
        </w:rPr>
        <w:t>Les CV mis à jour d</w:t>
      </w:r>
      <w:r w:rsidR="00EC66ED">
        <w:rPr>
          <w:rFonts w:ascii="Times New Roman" w:hAnsi="Times New Roman"/>
          <w:lang w:val="fr-FR"/>
        </w:rPr>
        <w:t>u Consultant</w:t>
      </w:r>
      <w:r w:rsidRPr="00604A71">
        <w:rPr>
          <w:rFonts w:ascii="Times New Roman" w:hAnsi="Times New Roman"/>
          <w:lang w:val="fr-FR"/>
        </w:rPr>
        <w:t xml:space="preserve">, mettant en exergue </w:t>
      </w:r>
      <w:r w:rsidR="00EC66ED">
        <w:rPr>
          <w:rFonts w:ascii="Times New Roman" w:hAnsi="Times New Roman"/>
          <w:lang w:val="fr-FR"/>
        </w:rPr>
        <w:t xml:space="preserve">son </w:t>
      </w:r>
      <w:r w:rsidRPr="00604A71">
        <w:rPr>
          <w:rFonts w:ascii="Times New Roman" w:hAnsi="Times New Roman"/>
          <w:lang w:val="fr-FR"/>
        </w:rPr>
        <w:t>expérience sur le domaine d’expertise concerné</w:t>
      </w:r>
    </w:p>
    <w:p w:rsidR="00AD5A0D" w:rsidRPr="00604A71" w:rsidRDefault="00AD5A0D" w:rsidP="00AD5A0D">
      <w:pPr>
        <w:spacing w:after="0" w:line="240" w:lineRule="auto"/>
        <w:jc w:val="both"/>
        <w:rPr>
          <w:rFonts w:ascii="Times New Roman" w:hAnsi="Times New Roman"/>
          <w:lang w:val="fr-FR"/>
        </w:rPr>
      </w:pPr>
    </w:p>
    <w:p w:rsidR="00AD5A0D" w:rsidRPr="00E55809" w:rsidRDefault="00AD5A0D" w:rsidP="00AD5A0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fr-FR"/>
        </w:rPr>
      </w:pPr>
      <w:r w:rsidRPr="00E55809">
        <w:rPr>
          <w:rFonts w:ascii="Times New Roman" w:hAnsi="Times New Roman"/>
          <w:b/>
          <w:i/>
          <w:sz w:val="24"/>
          <w:szCs w:val="24"/>
          <w:lang w:val="fr-FR"/>
        </w:rPr>
        <w:t>Dossier de candidature</w:t>
      </w:r>
    </w:p>
    <w:p w:rsidR="002D4BA8" w:rsidRDefault="002D4BA8" w:rsidP="00AD5A0D">
      <w:pPr>
        <w:spacing w:after="0" w:line="240" w:lineRule="auto"/>
        <w:jc w:val="both"/>
        <w:rPr>
          <w:rFonts w:ascii="Times New Roman" w:hAnsi="Times New Roman"/>
          <w:lang w:val="fr-FR"/>
        </w:rPr>
      </w:pPr>
    </w:p>
    <w:p w:rsidR="00AD5A0D" w:rsidRPr="00604A71" w:rsidRDefault="00AD5A0D" w:rsidP="00AD5A0D">
      <w:pPr>
        <w:spacing w:after="0" w:line="240" w:lineRule="auto"/>
        <w:jc w:val="both"/>
        <w:rPr>
          <w:rFonts w:ascii="Times New Roman" w:hAnsi="Times New Roman"/>
          <w:lang w:val="fr-FR"/>
        </w:rPr>
      </w:pPr>
      <w:r w:rsidRPr="00604A71">
        <w:rPr>
          <w:rFonts w:ascii="Times New Roman" w:hAnsi="Times New Roman"/>
          <w:lang w:val="fr-FR"/>
        </w:rPr>
        <w:t>Les personnes et / ou Cabinet intéressés doivent déposer un dossier de candidature</w:t>
      </w:r>
      <w:bookmarkStart w:id="0" w:name="_GoBack"/>
      <w:bookmarkEnd w:id="0"/>
      <w:r w:rsidRPr="00604A71">
        <w:rPr>
          <w:rFonts w:ascii="Times New Roman" w:hAnsi="Times New Roman"/>
          <w:lang w:val="fr-FR"/>
        </w:rPr>
        <w:t xml:space="preserve"> comprenant :</w:t>
      </w:r>
    </w:p>
    <w:p w:rsidR="00AD5A0D" w:rsidRPr="00604A71" w:rsidRDefault="00AD5A0D" w:rsidP="00AD5A0D">
      <w:pPr>
        <w:pStyle w:val="Paragraphedeliste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lang w:val="fr-FR"/>
        </w:rPr>
      </w:pPr>
      <w:r w:rsidRPr="00604A71">
        <w:rPr>
          <w:rFonts w:ascii="Times New Roman" w:hAnsi="Times New Roman"/>
          <w:lang w:val="fr-FR"/>
        </w:rPr>
        <w:t>Une offre technique décrivant la compréhension des TDR, la méthodologie proposée, le planning d’intervention</w:t>
      </w:r>
    </w:p>
    <w:p w:rsidR="00AD5A0D" w:rsidRPr="00604A71" w:rsidRDefault="00AD5A0D" w:rsidP="00AD5A0D">
      <w:pPr>
        <w:pStyle w:val="Paragraphedeliste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lang w:val="fr-FR"/>
        </w:rPr>
      </w:pPr>
      <w:r w:rsidRPr="00604A71">
        <w:rPr>
          <w:rFonts w:ascii="Times New Roman" w:hAnsi="Times New Roman"/>
          <w:lang w:val="fr-FR"/>
        </w:rPr>
        <w:t xml:space="preserve">Une offre financière précisant les honoraires </w:t>
      </w:r>
      <w:r w:rsidR="00115A9B">
        <w:rPr>
          <w:rFonts w:ascii="Times New Roman" w:hAnsi="Times New Roman"/>
          <w:lang w:val="fr-FR"/>
        </w:rPr>
        <w:t>du consultant.</w:t>
      </w:r>
    </w:p>
    <w:p w:rsidR="00AD5A0D" w:rsidRPr="00604A71" w:rsidRDefault="00AD5A0D" w:rsidP="00AD5A0D">
      <w:pPr>
        <w:pStyle w:val="Paragraphedeliste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lang w:val="fr-FR"/>
        </w:rPr>
      </w:pPr>
      <w:r w:rsidRPr="00604A71">
        <w:rPr>
          <w:rFonts w:ascii="Times New Roman" w:hAnsi="Times New Roman"/>
          <w:lang w:val="fr-FR"/>
        </w:rPr>
        <w:t>Le CV mis à jour d</w:t>
      </w:r>
      <w:r w:rsidR="00115A9B">
        <w:rPr>
          <w:rFonts w:ascii="Times New Roman" w:hAnsi="Times New Roman"/>
          <w:lang w:val="fr-FR"/>
        </w:rPr>
        <w:t>u consultant</w:t>
      </w:r>
      <w:r w:rsidRPr="00604A71">
        <w:rPr>
          <w:rFonts w:ascii="Times New Roman" w:hAnsi="Times New Roman"/>
          <w:lang w:val="fr-FR"/>
        </w:rPr>
        <w:t>, mettant en exergue leur expérience sur le domaine d’expertise concerné</w:t>
      </w:r>
    </w:p>
    <w:p w:rsidR="002D4BA8" w:rsidRDefault="002D4BA8" w:rsidP="00AD5A0D">
      <w:pPr>
        <w:spacing w:after="0" w:line="240" w:lineRule="auto"/>
        <w:jc w:val="both"/>
        <w:rPr>
          <w:rFonts w:ascii="Times New Roman" w:hAnsi="Times New Roman"/>
          <w:b/>
          <w:lang w:val="fr-FR"/>
        </w:rPr>
      </w:pPr>
    </w:p>
    <w:p w:rsidR="002D4BA8" w:rsidRDefault="002D4BA8" w:rsidP="00AD5A0D">
      <w:pPr>
        <w:spacing w:after="0" w:line="240" w:lineRule="auto"/>
        <w:jc w:val="both"/>
        <w:rPr>
          <w:rFonts w:ascii="Times New Roman" w:hAnsi="Times New Roman"/>
          <w:b/>
          <w:lang w:val="fr-FR"/>
        </w:rPr>
      </w:pPr>
    </w:p>
    <w:sectPr w:rsidR="002D4BA8" w:rsidSect="002C5411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73B" w:rsidRDefault="00C3573B">
      <w:pPr>
        <w:spacing w:after="0" w:line="240" w:lineRule="auto"/>
      </w:pPr>
      <w:r>
        <w:separator/>
      </w:r>
    </w:p>
  </w:endnote>
  <w:endnote w:type="continuationSeparator" w:id="0">
    <w:p w:rsidR="00C3573B" w:rsidRDefault="00C35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411" w:rsidRDefault="002C5411" w:rsidP="002C5411">
    <w:pPr>
      <w:pBdr>
        <w:bottom w:val="single" w:sz="4" w:space="1" w:color="auto"/>
      </w:pBdr>
      <w:rPr>
        <w:rFonts w:ascii="Cambria" w:eastAsia="Times New Roman" w:hAnsi="Cambria"/>
        <w:lang w:val="fr-FR"/>
      </w:rPr>
    </w:pPr>
    <w:r>
      <w:rPr>
        <w:rFonts w:ascii="Cambria" w:eastAsia="Times New Roman" w:hAnsi="Cambria"/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867169" wp14:editId="02B998F2">
              <wp:simplePos x="0" y="0"/>
              <wp:positionH relativeFrom="page">
                <wp:posOffset>3466465</wp:posOffset>
              </wp:positionH>
              <wp:positionV relativeFrom="page">
                <wp:posOffset>9824720</wp:posOffset>
              </wp:positionV>
              <wp:extent cx="626745" cy="626745"/>
              <wp:effectExtent l="8890" t="4445" r="2540" b="6985"/>
              <wp:wrapNone/>
              <wp:docPr id="3" name="Ellips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6745" cy="626745"/>
                      </a:xfrm>
                      <a:prstGeom prst="ellipse">
                        <a:avLst/>
                      </a:prstGeom>
                      <a:solidFill>
                        <a:srgbClr val="365F9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5411" w:rsidRPr="00651FFC" w:rsidRDefault="002C5411">
                          <w:pPr>
                            <w:pStyle w:val="Pieddepage"/>
                            <w:jc w:val="center"/>
                            <w:rPr>
                              <w:b/>
                              <w:color w:val="FFFFFF"/>
                              <w:sz w:val="32"/>
                              <w:szCs w:val="3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4D579B" w:rsidRPr="004D579B">
                            <w:rPr>
                              <w:b/>
                              <w:noProof/>
                              <w:color w:val="FFFFFF"/>
                              <w:sz w:val="32"/>
                              <w:szCs w:val="32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2A867169" id="Ellipse 3" o:spid="_x0000_s1027" style="position:absolute;margin-left:272.95pt;margin-top:773.6pt;width:49.35pt;height:49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" fillcolor="#365f91" stroked="f">
              <v:textbox>
                <w:txbxContent>
                  <w:p w:rsidR="002C5411" w:rsidRPr="00651FFC" w:rsidRDefault="002C5411">
                    <w:pPr>
                      <w:pStyle w:val="Pieddepage"/>
                      <w:jc w:val="center"/>
                      <w:rPr>
                        <w:b/>
                        <w:color w:val="FFFFFF"/>
                        <w:sz w:val="32"/>
                        <w:szCs w:val="32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4D579B" w:rsidRPr="004D579B">
                      <w:rPr>
                        <w:b/>
                        <w:noProof/>
                        <w:color w:val="FFFFFF"/>
                        <w:sz w:val="32"/>
                        <w:szCs w:val="32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</w:p>
  <w:p w:rsidR="002C5411" w:rsidRDefault="002C541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73B" w:rsidRDefault="00C3573B">
      <w:pPr>
        <w:spacing w:after="0" w:line="240" w:lineRule="auto"/>
      </w:pPr>
      <w:r>
        <w:separator/>
      </w:r>
    </w:p>
  </w:footnote>
  <w:footnote w:type="continuationSeparator" w:id="0">
    <w:p w:rsidR="00C3573B" w:rsidRDefault="00C35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411" w:rsidRDefault="002C5411" w:rsidP="002C5411">
    <w:pPr>
      <w:pStyle w:val="En-tte"/>
      <w:pBdr>
        <w:bottom w:val="single" w:sz="4" w:space="1" w:color="auto"/>
      </w:pBdr>
      <w:tabs>
        <w:tab w:val="clear" w:pos="4536"/>
        <w:tab w:val="clear" w:pos="9072"/>
        <w:tab w:val="left" w:pos="517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14.25pt;height:14.25pt" o:bullet="t">
        <v:imagedata r:id="rId1" o:title="msoA29A"/>
      </v:shape>
    </w:pict>
  </w:numPicBullet>
  <w:abstractNum w:abstractNumId="0">
    <w:nsid w:val="04A436A9"/>
    <w:multiLevelType w:val="hybridMultilevel"/>
    <w:tmpl w:val="6E38F35A"/>
    <w:lvl w:ilvl="0" w:tplc="040C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8B00A68"/>
    <w:multiLevelType w:val="hybridMultilevel"/>
    <w:tmpl w:val="976C7062"/>
    <w:lvl w:ilvl="0" w:tplc="0DA60D9C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E23EC"/>
    <w:multiLevelType w:val="hybridMultilevel"/>
    <w:tmpl w:val="20B4E6E4"/>
    <w:lvl w:ilvl="0" w:tplc="1CECFD3A">
      <w:start w:val="3"/>
      <w:numFmt w:val="bullet"/>
      <w:lvlText w:val="-"/>
      <w:lvlJc w:val="left"/>
      <w:pPr>
        <w:ind w:left="1080" w:hanging="360"/>
      </w:pPr>
      <w:rPr>
        <w:rFonts w:ascii="Aparajita" w:eastAsia="Calibri" w:hAnsi="Aparajita" w:cs="Aparajita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660443"/>
    <w:multiLevelType w:val="hybridMultilevel"/>
    <w:tmpl w:val="4488A2D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E427E4"/>
    <w:multiLevelType w:val="hybridMultilevel"/>
    <w:tmpl w:val="F62C8622"/>
    <w:lvl w:ilvl="0" w:tplc="45E01304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A779BD"/>
    <w:multiLevelType w:val="hybridMultilevel"/>
    <w:tmpl w:val="1408DCD4"/>
    <w:lvl w:ilvl="0" w:tplc="040C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6B1661"/>
    <w:multiLevelType w:val="hybridMultilevel"/>
    <w:tmpl w:val="DED2DBAA"/>
    <w:lvl w:ilvl="0" w:tplc="4B3EF5F8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ED4052"/>
    <w:multiLevelType w:val="hybridMultilevel"/>
    <w:tmpl w:val="A4F4B02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8976AF"/>
    <w:multiLevelType w:val="hybridMultilevel"/>
    <w:tmpl w:val="F1E8148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BD2797"/>
    <w:multiLevelType w:val="hybridMultilevel"/>
    <w:tmpl w:val="18444F9E"/>
    <w:lvl w:ilvl="0" w:tplc="EF72931E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136D28"/>
    <w:multiLevelType w:val="hybridMultilevel"/>
    <w:tmpl w:val="B2CE4116"/>
    <w:lvl w:ilvl="0" w:tplc="64FA3BE8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760" w:hanging="360"/>
      </w:pPr>
    </w:lvl>
    <w:lvl w:ilvl="2" w:tplc="040C001B" w:tentative="1">
      <w:start w:val="1"/>
      <w:numFmt w:val="lowerRoman"/>
      <w:lvlText w:val="%3."/>
      <w:lvlJc w:val="right"/>
      <w:pPr>
        <w:ind w:left="6480" w:hanging="180"/>
      </w:pPr>
    </w:lvl>
    <w:lvl w:ilvl="3" w:tplc="040C000F" w:tentative="1">
      <w:start w:val="1"/>
      <w:numFmt w:val="decimal"/>
      <w:lvlText w:val="%4."/>
      <w:lvlJc w:val="left"/>
      <w:pPr>
        <w:ind w:left="7200" w:hanging="360"/>
      </w:pPr>
    </w:lvl>
    <w:lvl w:ilvl="4" w:tplc="040C0019" w:tentative="1">
      <w:start w:val="1"/>
      <w:numFmt w:val="lowerLetter"/>
      <w:lvlText w:val="%5."/>
      <w:lvlJc w:val="left"/>
      <w:pPr>
        <w:ind w:left="7920" w:hanging="360"/>
      </w:pPr>
    </w:lvl>
    <w:lvl w:ilvl="5" w:tplc="040C001B" w:tentative="1">
      <w:start w:val="1"/>
      <w:numFmt w:val="lowerRoman"/>
      <w:lvlText w:val="%6."/>
      <w:lvlJc w:val="right"/>
      <w:pPr>
        <w:ind w:left="8640" w:hanging="180"/>
      </w:pPr>
    </w:lvl>
    <w:lvl w:ilvl="6" w:tplc="040C000F" w:tentative="1">
      <w:start w:val="1"/>
      <w:numFmt w:val="decimal"/>
      <w:lvlText w:val="%7."/>
      <w:lvlJc w:val="left"/>
      <w:pPr>
        <w:ind w:left="9360" w:hanging="360"/>
      </w:pPr>
    </w:lvl>
    <w:lvl w:ilvl="7" w:tplc="040C0019" w:tentative="1">
      <w:start w:val="1"/>
      <w:numFmt w:val="lowerLetter"/>
      <w:lvlText w:val="%8."/>
      <w:lvlJc w:val="left"/>
      <w:pPr>
        <w:ind w:left="10080" w:hanging="360"/>
      </w:pPr>
    </w:lvl>
    <w:lvl w:ilvl="8" w:tplc="040C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1">
    <w:nsid w:val="32022975"/>
    <w:multiLevelType w:val="hybridMultilevel"/>
    <w:tmpl w:val="6786072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0C1DB5"/>
    <w:multiLevelType w:val="hybridMultilevel"/>
    <w:tmpl w:val="CDEC7D3C"/>
    <w:lvl w:ilvl="0" w:tplc="EF72931E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225BBB"/>
    <w:multiLevelType w:val="hybridMultilevel"/>
    <w:tmpl w:val="C6F8C1C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B15D86"/>
    <w:multiLevelType w:val="hybridMultilevel"/>
    <w:tmpl w:val="3E3E433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310E0F"/>
    <w:multiLevelType w:val="multilevel"/>
    <w:tmpl w:val="79120E8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424F0C98"/>
    <w:multiLevelType w:val="hybridMultilevel"/>
    <w:tmpl w:val="98EC07D8"/>
    <w:lvl w:ilvl="0" w:tplc="24820DB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BB7057"/>
    <w:multiLevelType w:val="hybridMultilevel"/>
    <w:tmpl w:val="2894370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F36752"/>
    <w:multiLevelType w:val="hybridMultilevel"/>
    <w:tmpl w:val="079C541A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46A03929"/>
    <w:multiLevelType w:val="hybridMultilevel"/>
    <w:tmpl w:val="57AE24E8"/>
    <w:lvl w:ilvl="0" w:tplc="040C000F">
      <w:start w:val="1"/>
      <w:numFmt w:val="decimal"/>
      <w:lvlText w:val="%1."/>
      <w:lvlJc w:val="left"/>
      <w:pPr>
        <w:ind w:left="5040" w:hanging="360"/>
      </w:pPr>
    </w:lvl>
    <w:lvl w:ilvl="1" w:tplc="040C0019" w:tentative="1">
      <w:start w:val="1"/>
      <w:numFmt w:val="lowerLetter"/>
      <w:lvlText w:val="%2."/>
      <w:lvlJc w:val="left"/>
      <w:pPr>
        <w:ind w:left="5760" w:hanging="360"/>
      </w:pPr>
    </w:lvl>
    <w:lvl w:ilvl="2" w:tplc="040C001B" w:tentative="1">
      <w:start w:val="1"/>
      <w:numFmt w:val="lowerRoman"/>
      <w:lvlText w:val="%3."/>
      <w:lvlJc w:val="right"/>
      <w:pPr>
        <w:ind w:left="6480" w:hanging="180"/>
      </w:pPr>
    </w:lvl>
    <w:lvl w:ilvl="3" w:tplc="040C000F" w:tentative="1">
      <w:start w:val="1"/>
      <w:numFmt w:val="decimal"/>
      <w:lvlText w:val="%4."/>
      <w:lvlJc w:val="left"/>
      <w:pPr>
        <w:ind w:left="7200" w:hanging="360"/>
      </w:pPr>
    </w:lvl>
    <w:lvl w:ilvl="4" w:tplc="040C0019" w:tentative="1">
      <w:start w:val="1"/>
      <w:numFmt w:val="lowerLetter"/>
      <w:lvlText w:val="%5."/>
      <w:lvlJc w:val="left"/>
      <w:pPr>
        <w:ind w:left="7920" w:hanging="360"/>
      </w:pPr>
    </w:lvl>
    <w:lvl w:ilvl="5" w:tplc="040C001B" w:tentative="1">
      <w:start w:val="1"/>
      <w:numFmt w:val="lowerRoman"/>
      <w:lvlText w:val="%6."/>
      <w:lvlJc w:val="right"/>
      <w:pPr>
        <w:ind w:left="8640" w:hanging="180"/>
      </w:pPr>
    </w:lvl>
    <w:lvl w:ilvl="6" w:tplc="040C000F" w:tentative="1">
      <w:start w:val="1"/>
      <w:numFmt w:val="decimal"/>
      <w:lvlText w:val="%7."/>
      <w:lvlJc w:val="left"/>
      <w:pPr>
        <w:ind w:left="9360" w:hanging="360"/>
      </w:pPr>
    </w:lvl>
    <w:lvl w:ilvl="7" w:tplc="040C0019" w:tentative="1">
      <w:start w:val="1"/>
      <w:numFmt w:val="lowerLetter"/>
      <w:lvlText w:val="%8."/>
      <w:lvlJc w:val="left"/>
      <w:pPr>
        <w:ind w:left="10080" w:hanging="360"/>
      </w:pPr>
    </w:lvl>
    <w:lvl w:ilvl="8" w:tplc="040C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0">
    <w:nsid w:val="46BD7E56"/>
    <w:multiLevelType w:val="hybridMultilevel"/>
    <w:tmpl w:val="00E46F0C"/>
    <w:lvl w:ilvl="0" w:tplc="040C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1">
    <w:nsid w:val="4A2A6EE2"/>
    <w:multiLevelType w:val="hybridMultilevel"/>
    <w:tmpl w:val="21B80A6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D75D25"/>
    <w:multiLevelType w:val="hybridMultilevel"/>
    <w:tmpl w:val="25A6C1A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AB6CBC"/>
    <w:multiLevelType w:val="hybridMultilevel"/>
    <w:tmpl w:val="7436E078"/>
    <w:lvl w:ilvl="0" w:tplc="EF72931E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D45941"/>
    <w:multiLevelType w:val="hybridMultilevel"/>
    <w:tmpl w:val="9B56D44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123FA9"/>
    <w:multiLevelType w:val="hybridMultilevel"/>
    <w:tmpl w:val="0DB8871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3E51F3"/>
    <w:multiLevelType w:val="hybridMultilevel"/>
    <w:tmpl w:val="1BB419F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6E3334"/>
    <w:multiLevelType w:val="hybridMultilevel"/>
    <w:tmpl w:val="43C0838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0E2567"/>
    <w:multiLevelType w:val="hybridMultilevel"/>
    <w:tmpl w:val="2B108554"/>
    <w:lvl w:ilvl="0" w:tplc="040C000D">
      <w:start w:val="1"/>
      <w:numFmt w:val="bullet"/>
      <w:lvlText w:val=""/>
      <w:lvlJc w:val="left"/>
      <w:pPr>
        <w:ind w:left="76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9">
    <w:nsid w:val="5D892B79"/>
    <w:multiLevelType w:val="hybridMultilevel"/>
    <w:tmpl w:val="06F2F18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9C4064"/>
    <w:multiLevelType w:val="hybridMultilevel"/>
    <w:tmpl w:val="D7BCF8C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60038D"/>
    <w:multiLevelType w:val="hybridMultilevel"/>
    <w:tmpl w:val="BF7EBF2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CE1495"/>
    <w:multiLevelType w:val="multilevel"/>
    <w:tmpl w:val="79120E8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614D0AE4"/>
    <w:multiLevelType w:val="hybridMultilevel"/>
    <w:tmpl w:val="DD44F85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3320C0"/>
    <w:multiLevelType w:val="hybridMultilevel"/>
    <w:tmpl w:val="29040C9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421999"/>
    <w:multiLevelType w:val="hybridMultilevel"/>
    <w:tmpl w:val="810073D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620831"/>
    <w:multiLevelType w:val="hybridMultilevel"/>
    <w:tmpl w:val="6392574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C63E7D"/>
    <w:multiLevelType w:val="hybridMultilevel"/>
    <w:tmpl w:val="193C841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0"/>
  </w:num>
  <w:num w:numId="4">
    <w:abstractNumId w:val="23"/>
  </w:num>
  <w:num w:numId="5">
    <w:abstractNumId w:val="6"/>
  </w:num>
  <w:num w:numId="6">
    <w:abstractNumId w:val="16"/>
  </w:num>
  <w:num w:numId="7">
    <w:abstractNumId w:val="12"/>
  </w:num>
  <w:num w:numId="8">
    <w:abstractNumId w:val="4"/>
  </w:num>
  <w:num w:numId="9">
    <w:abstractNumId w:val="9"/>
  </w:num>
  <w:num w:numId="10">
    <w:abstractNumId w:val="8"/>
  </w:num>
  <w:num w:numId="11">
    <w:abstractNumId w:val="27"/>
  </w:num>
  <w:num w:numId="12">
    <w:abstractNumId w:val="37"/>
  </w:num>
  <w:num w:numId="13">
    <w:abstractNumId w:val="29"/>
  </w:num>
  <w:num w:numId="14">
    <w:abstractNumId w:val="18"/>
  </w:num>
  <w:num w:numId="15">
    <w:abstractNumId w:val="17"/>
  </w:num>
  <w:num w:numId="16">
    <w:abstractNumId w:val="19"/>
  </w:num>
  <w:num w:numId="17">
    <w:abstractNumId w:val="30"/>
  </w:num>
  <w:num w:numId="18">
    <w:abstractNumId w:val="28"/>
  </w:num>
  <w:num w:numId="19">
    <w:abstractNumId w:val="26"/>
  </w:num>
  <w:num w:numId="20">
    <w:abstractNumId w:val="11"/>
  </w:num>
  <w:num w:numId="21">
    <w:abstractNumId w:val="36"/>
  </w:num>
  <w:num w:numId="22">
    <w:abstractNumId w:val="5"/>
  </w:num>
  <w:num w:numId="23">
    <w:abstractNumId w:val="34"/>
  </w:num>
  <w:num w:numId="24">
    <w:abstractNumId w:val="22"/>
  </w:num>
  <w:num w:numId="25">
    <w:abstractNumId w:val="14"/>
  </w:num>
  <w:num w:numId="26">
    <w:abstractNumId w:val="35"/>
  </w:num>
  <w:num w:numId="27">
    <w:abstractNumId w:val="10"/>
  </w:num>
  <w:num w:numId="28">
    <w:abstractNumId w:val="32"/>
  </w:num>
  <w:num w:numId="29">
    <w:abstractNumId w:val="25"/>
  </w:num>
  <w:num w:numId="30">
    <w:abstractNumId w:val="3"/>
  </w:num>
  <w:num w:numId="31">
    <w:abstractNumId w:val="13"/>
  </w:num>
  <w:num w:numId="32">
    <w:abstractNumId w:val="20"/>
  </w:num>
  <w:num w:numId="33">
    <w:abstractNumId w:val="24"/>
  </w:num>
  <w:num w:numId="34">
    <w:abstractNumId w:val="7"/>
  </w:num>
  <w:num w:numId="35">
    <w:abstractNumId w:val="21"/>
  </w:num>
  <w:num w:numId="36">
    <w:abstractNumId w:val="33"/>
  </w:num>
  <w:num w:numId="37">
    <w:abstractNumId w:val="31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411"/>
    <w:rsid w:val="00025D6C"/>
    <w:rsid w:val="000F4B8B"/>
    <w:rsid w:val="00115A9B"/>
    <w:rsid w:val="001510AF"/>
    <w:rsid w:val="00170963"/>
    <w:rsid w:val="00190F0B"/>
    <w:rsid w:val="001A47E2"/>
    <w:rsid w:val="00234EA7"/>
    <w:rsid w:val="002C5411"/>
    <w:rsid w:val="002D4BA8"/>
    <w:rsid w:val="00380B9D"/>
    <w:rsid w:val="0041721E"/>
    <w:rsid w:val="004176C6"/>
    <w:rsid w:val="00446F92"/>
    <w:rsid w:val="004D579B"/>
    <w:rsid w:val="0051126F"/>
    <w:rsid w:val="005357E4"/>
    <w:rsid w:val="00587ECF"/>
    <w:rsid w:val="005C7CDA"/>
    <w:rsid w:val="005E2216"/>
    <w:rsid w:val="005E2F01"/>
    <w:rsid w:val="0060350D"/>
    <w:rsid w:val="00604A71"/>
    <w:rsid w:val="0060585B"/>
    <w:rsid w:val="006B52A9"/>
    <w:rsid w:val="006C2C33"/>
    <w:rsid w:val="006E34A7"/>
    <w:rsid w:val="006E4493"/>
    <w:rsid w:val="00735A5F"/>
    <w:rsid w:val="007A7819"/>
    <w:rsid w:val="007B330C"/>
    <w:rsid w:val="00825542"/>
    <w:rsid w:val="00852BDF"/>
    <w:rsid w:val="008F28D9"/>
    <w:rsid w:val="00920388"/>
    <w:rsid w:val="00962943"/>
    <w:rsid w:val="00992935"/>
    <w:rsid w:val="009D20A8"/>
    <w:rsid w:val="009E7587"/>
    <w:rsid w:val="009F0801"/>
    <w:rsid w:val="009F169A"/>
    <w:rsid w:val="009F61F3"/>
    <w:rsid w:val="00A04F42"/>
    <w:rsid w:val="00A16BFD"/>
    <w:rsid w:val="00A9360F"/>
    <w:rsid w:val="00AD5A0D"/>
    <w:rsid w:val="00B340A6"/>
    <w:rsid w:val="00BE3272"/>
    <w:rsid w:val="00C2592C"/>
    <w:rsid w:val="00C3573B"/>
    <w:rsid w:val="00C501F9"/>
    <w:rsid w:val="00C75749"/>
    <w:rsid w:val="00CD021F"/>
    <w:rsid w:val="00D21130"/>
    <w:rsid w:val="00DD16F3"/>
    <w:rsid w:val="00DF4BB9"/>
    <w:rsid w:val="00DF7CDA"/>
    <w:rsid w:val="00E02879"/>
    <w:rsid w:val="00E20AFD"/>
    <w:rsid w:val="00E55809"/>
    <w:rsid w:val="00E95D19"/>
    <w:rsid w:val="00EB4871"/>
    <w:rsid w:val="00EC66ED"/>
    <w:rsid w:val="00EF6517"/>
    <w:rsid w:val="00F7307C"/>
    <w:rsid w:val="00F731C6"/>
    <w:rsid w:val="00FB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3C4231-172B-4CEE-A448-55D2A4E7E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411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2C541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C5411"/>
    <w:rPr>
      <w:rFonts w:ascii="Calibri" w:eastAsia="Calibri" w:hAnsi="Calibri" w:cs="Times New Roman"/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2C541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C5411"/>
    <w:rPr>
      <w:rFonts w:ascii="Calibri" w:eastAsia="Calibri" w:hAnsi="Calibri" w:cs="Times New Roman"/>
      <w:lang w:val="en-GB"/>
    </w:rPr>
  </w:style>
  <w:style w:type="paragraph" w:styleId="Paragraphedeliste">
    <w:name w:val="List Paragraph"/>
    <w:aliases w:val="References,Bullets,Paragraphe à Puce,Titre1"/>
    <w:basedOn w:val="Normal"/>
    <w:link w:val="ParagraphedelisteCar"/>
    <w:uiPriority w:val="34"/>
    <w:qFormat/>
    <w:rsid w:val="002C5411"/>
    <w:pPr>
      <w:ind w:left="720"/>
      <w:contextualSpacing/>
    </w:pPr>
  </w:style>
  <w:style w:type="character" w:customStyle="1" w:styleId="ParagraphedelisteCar">
    <w:name w:val="Paragraphe de liste Car"/>
    <w:aliases w:val="References Car,Bullets Car,Paragraphe à Puce Car,Titre1 Car"/>
    <w:basedOn w:val="Policepardfaut"/>
    <w:link w:val="Paragraphedeliste"/>
    <w:uiPriority w:val="34"/>
    <w:rsid w:val="002C5411"/>
    <w:rPr>
      <w:rFonts w:ascii="Calibri" w:eastAsia="Calibri" w:hAnsi="Calibri" w:cs="Times New Roman"/>
      <w:lang w:val="en-GB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5411"/>
    <w:rPr>
      <w:rFonts w:ascii="Segoe UI" w:eastAsia="Calibri" w:hAnsi="Segoe UI" w:cs="Segoe UI"/>
      <w:sz w:val="18"/>
      <w:szCs w:val="18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C541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AD5A0D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1048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Alioune Badara SOW</dc:creator>
  <cp:keywords/>
  <dc:description/>
  <cp:lastModifiedBy>840</cp:lastModifiedBy>
  <cp:revision>42</cp:revision>
  <cp:lastPrinted>2017-06-01T09:43:00Z</cp:lastPrinted>
  <dcterms:created xsi:type="dcterms:W3CDTF">2017-05-05T16:04:00Z</dcterms:created>
  <dcterms:modified xsi:type="dcterms:W3CDTF">2017-06-02T12:04:00Z</dcterms:modified>
</cp:coreProperties>
</file>